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F" w:rsidRPr="002769A0" w:rsidRDefault="009D2E68" w:rsidP="00F87E9F">
      <w:pPr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Załącznik nr 4</w:t>
      </w:r>
      <w:r w:rsidR="00F87E9F" w:rsidRPr="002769A0">
        <w:rPr>
          <w:rFonts w:asciiTheme="minorHAnsi" w:hAnsiTheme="minorHAnsi"/>
          <w:b/>
          <w:sz w:val="28"/>
          <w:szCs w:val="28"/>
        </w:rPr>
        <w:t>A</w:t>
      </w:r>
      <w:r w:rsidR="000F0D0B" w:rsidRPr="002769A0">
        <w:rPr>
          <w:rFonts w:asciiTheme="minorHAnsi" w:hAnsiTheme="minorHAnsi"/>
          <w:b/>
          <w:sz w:val="28"/>
          <w:szCs w:val="28"/>
        </w:rPr>
        <w:t xml:space="preserve"> do </w:t>
      </w:r>
      <w:proofErr w:type="spellStart"/>
      <w:r w:rsidR="000F0D0B" w:rsidRPr="002769A0">
        <w:rPr>
          <w:rFonts w:asciiTheme="minorHAnsi" w:hAnsiTheme="minorHAnsi"/>
          <w:b/>
          <w:sz w:val="28"/>
          <w:szCs w:val="28"/>
        </w:rPr>
        <w:t>siwz</w:t>
      </w:r>
      <w:proofErr w:type="spellEnd"/>
      <w:r w:rsidR="00F87E9F" w:rsidRPr="002769A0">
        <w:rPr>
          <w:rFonts w:asciiTheme="minorHAnsi" w:hAnsiTheme="minorHAnsi"/>
          <w:b/>
          <w:sz w:val="28"/>
          <w:szCs w:val="28"/>
        </w:rPr>
        <w:t xml:space="preserve"> </w:t>
      </w:r>
    </w:p>
    <w:p w:rsidR="008D64E6" w:rsidRPr="002769A0" w:rsidRDefault="008D64E6" w:rsidP="003317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81D80" w:rsidRDefault="00365C6A" w:rsidP="002769A0">
      <w:pPr>
        <w:rPr>
          <w:rFonts w:asciiTheme="minorHAnsi" w:hAnsiTheme="minorHAnsi"/>
          <w:b/>
          <w:sz w:val="28"/>
          <w:szCs w:val="28"/>
        </w:rPr>
      </w:pPr>
      <w:r w:rsidRPr="002769A0">
        <w:rPr>
          <w:rFonts w:asciiTheme="minorHAnsi" w:hAnsiTheme="minorHAnsi"/>
          <w:b/>
          <w:sz w:val="28"/>
          <w:szCs w:val="28"/>
        </w:rPr>
        <w:t>Specyfikacja techniczna</w:t>
      </w:r>
      <w:r w:rsidR="0072353B" w:rsidRPr="002769A0">
        <w:rPr>
          <w:rFonts w:asciiTheme="minorHAnsi" w:hAnsiTheme="minorHAnsi"/>
          <w:b/>
          <w:sz w:val="28"/>
          <w:szCs w:val="28"/>
        </w:rPr>
        <w:t xml:space="preserve"> </w:t>
      </w:r>
      <w:r w:rsidR="002769A0">
        <w:rPr>
          <w:rFonts w:asciiTheme="minorHAnsi" w:hAnsiTheme="minorHAnsi"/>
          <w:b/>
          <w:sz w:val="28"/>
          <w:szCs w:val="28"/>
        </w:rPr>
        <w:t xml:space="preserve">dla </w:t>
      </w:r>
      <w:r w:rsidR="00D954AF" w:rsidRPr="002769A0">
        <w:rPr>
          <w:rFonts w:asciiTheme="minorHAnsi" w:hAnsiTheme="minorHAnsi"/>
          <w:b/>
          <w:sz w:val="28"/>
          <w:szCs w:val="28"/>
        </w:rPr>
        <w:t>36</w:t>
      </w:r>
      <w:r w:rsidR="008D64E6" w:rsidRPr="002769A0">
        <w:rPr>
          <w:rFonts w:asciiTheme="minorHAnsi" w:hAnsiTheme="minorHAnsi"/>
          <w:b/>
          <w:sz w:val="28"/>
          <w:szCs w:val="28"/>
        </w:rPr>
        <w:t xml:space="preserve"> </w:t>
      </w:r>
      <w:r w:rsidR="002769A0">
        <w:rPr>
          <w:rFonts w:asciiTheme="minorHAnsi" w:hAnsiTheme="minorHAnsi"/>
          <w:b/>
          <w:sz w:val="28"/>
          <w:szCs w:val="28"/>
        </w:rPr>
        <w:t xml:space="preserve">szt. </w:t>
      </w:r>
      <w:r w:rsidR="005E62B9" w:rsidRPr="002769A0">
        <w:rPr>
          <w:rFonts w:asciiTheme="minorHAnsi" w:hAnsiTheme="minorHAnsi"/>
          <w:b/>
          <w:sz w:val="28"/>
          <w:szCs w:val="28"/>
        </w:rPr>
        <w:t>unit</w:t>
      </w:r>
      <w:r w:rsidR="0018681A" w:rsidRPr="002769A0">
        <w:rPr>
          <w:rFonts w:asciiTheme="minorHAnsi" w:hAnsiTheme="minorHAnsi"/>
          <w:b/>
          <w:sz w:val="28"/>
          <w:szCs w:val="28"/>
        </w:rPr>
        <w:t>-</w:t>
      </w:r>
      <w:r w:rsidR="008D64E6" w:rsidRPr="002769A0">
        <w:rPr>
          <w:rFonts w:asciiTheme="minorHAnsi" w:hAnsiTheme="minorHAnsi"/>
          <w:b/>
          <w:sz w:val="28"/>
          <w:szCs w:val="28"/>
        </w:rPr>
        <w:t>ów</w:t>
      </w:r>
      <w:r w:rsidR="005E62B9" w:rsidRPr="002769A0">
        <w:rPr>
          <w:rFonts w:asciiTheme="minorHAnsi" w:hAnsiTheme="minorHAnsi"/>
          <w:b/>
          <w:sz w:val="28"/>
          <w:szCs w:val="28"/>
        </w:rPr>
        <w:t xml:space="preserve"> stomatologiczn</w:t>
      </w:r>
      <w:r w:rsidR="008D64E6" w:rsidRPr="002769A0">
        <w:rPr>
          <w:rFonts w:asciiTheme="minorHAnsi" w:hAnsiTheme="minorHAnsi"/>
          <w:b/>
          <w:sz w:val="28"/>
          <w:szCs w:val="28"/>
        </w:rPr>
        <w:t>ych</w:t>
      </w:r>
      <w:r w:rsidR="002769A0">
        <w:rPr>
          <w:rFonts w:asciiTheme="minorHAnsi" w:hAnsiTheme="minorHAnsi"/>
          <w:b/>
          <w:sz w:val="28"/>
          <w:szCs w:val="28"/>
        </w:rPr>
        <w:t>:</w:t>
      </w:r>
    </w:p>
    <w:p w:rsidR="002769A0" w:rsidRPr="002769A0" w:rsidRDefault="002769A0" w:rsidP="002769A0">
      <w:pPr>
        <w:jc w:val="center"/>
        <w:rPr>
          <w:rFonts w:asciiTheme="minorHAnsi" w:hAnsiTheme="minorHAnsi"/>
          <w:b/>
          <w:sz w:val="28"/>
          <w:szCs w:val="28"/>
        </w:rPr>
      </w:pPr>
    </w:p>
    <w:p w:rsidR="0018681A" w:rsidRPr="00CA341F" w:rsidRDefault="00043358" w:rsidP="002769A0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A341F">
        <w:rPr>
          <w:rFonts w:asciiTheme="minorHAnsi" w:hAnsiTheme="minorHAnsi"/>
        </w:rPr>
        <w:t>12</w:t>
      </w:r>
      <w:r w:rsidR="0018681A" w:rsidRPr="00CA341F">
        <w:rPr>
          <w:rFonts w:asciiTheme="minorHAnsi" w:hAnsiTheme="minorHAnsi"/>
        </w:rPr>
        <w:t xml:space="preserve"> </w:t>
      </w:r>
      <w:r w:rsidR="002769A0" w:rsidRPr="00CA341F">
        <w:rPr>
          <w:rFonts w:asciiTheme="minorHAnsi" w:hAnsiTheme="minorHAnsi"/>
        </w:rPr>
        <w:t xml:space="preserve">szt. </w:t>
      </w:r>
      <w:r w:rsidR="00F81D80" w:rsidRPr="00CA341F">
        <w:rPr>
          <w:rFonts w:asciiTheme="minorHAnsi" w:hAnsiTheme="minorHAnsi"/>
        </w:rPr>
        <w:t>na potrzeby Poradni Stomatologii Zachowawczej z Endodoncją</w:t>
      </w:r>
      <w:r w:rsidR="002769A0" w:rsidRPr="00CA341F">
        <w:rPr>
          <w:rFonts w:asciiTheme="minorHAnsi" w:hAnsiTheme="minorHAnsi"/>
        </w:rPr>
        <w:t xml:space="preserve">: </w:t>
      </w:r>
      <w:r w:rsidR="0018681A" w:rsidRPr="00CA341F">
        <w:rPr>
          <w:rFonts w:asciiTheme="minorHAnsi" w:hAnsiTheme="minorHAnsi"/>
        </w:rPr>
        <w:t xml:space="preserve"> </w:t>
      </w:r>
    </w:p>
    <w:p w:rsidR="002769A0" w:rsidRPr="00CA341F" w:rsidRDefault="00043358" w:rsidP="002769A0">
      <w:pPr>
        <w:pStyle w:val="Akapitzlist"/>
        <w:rPr>
          <w:rFonts w:asciiTheme="minorHAnsi" w:hAnsiTheme="minorHAnsi"/>
        </w:rPr>
      </w:pPr>
      <w:r w:rsidRPr="00CA341F">
        <w:rPr>
          <w:rFonts w:asciiTheme="minorHAnsi" w:hAnsiTheme="minorHAnsi"/>
        </w:rPr>
        <w:t xml:space="preserve">w tym 11 </w:t>
      </w:r>
      <w:r w:rsidR="002769A0" w:rsidRPr="00CA341F">
        <w:rPr>
          <w:rFonts w:asciiTheme="minorHAnsi" w:hAnsiTheme="minorHAnsi"/>
        </w:rPr>
        <w:t xml:space="preserve">szt. </w:t>
      </w:r>
      <w:r w:rsidRPr="00CA341F">
        <w:rPr>
          <w:rFonts w:asciiTheme="minorHAnsi" w:hAnsiTheme="minorHAnsi"/>
        </w:rPr>
        <w:t>na potrzeby Zespołu Stomatologii Dziecięcej</w:t>
      </w:r>
      <w:r w:rsidR="002769A0" w:rsidRPr="00CA341F">
        <w:rPr>
          <w:rFonts w:asciiTheme="minorHAnsi" w:hAnsiTheme="minorHAnsi"/>
        </w:rPr>
        <w:t xml:space="preserve">, dla 11 szt. </w:t>
      </w:r>
      <w:r w:rsidR="005D5689" w:rsidRPr="00CA341F">
        <w:rPr>
          <w:rFonts w:asciiTheme="minorHAnsi" w:hAnsiTheme="minorHAnsi"/>
        </w:rPr>
        <w:t xml:space="preserve">kolor tapicerki: </w:t>
      </w:r>
      <w:r w:rsidR="00DE7AD2" w:rsidRPr="001D7AD2">
        <w:rPr>
          <w:rFonts w:asciiTheme="minorHAnsi" w:hAnsiTheme="minorHAnsi"/>
        </w:rPr>
        <w:t>ciemnożółty</w:t>
      </w:r>
      <w:r w:rsidR="001D7AD2">
        <w:rPr>
          <w:rFonts w:asciiTheme="minorHAnsi" w:hAnsiTheme="minorHAnsi"/>
        </w:rPr>
        <w:t xml:space="preserve"> (nasycony żółty)</w:t>
      </w:r>
      <w:r w:rsidR="002769A0" w:rsidRPr="00CA341F">
        <w:rPr>
          <w:rFonts w:asciiTheme="minorHAnsi" w:hAnsiTheme="minorHAnsi"/>
        </w:rPr>
        <w:t xml:space="preserve"> i dla 1 szt. kolor tapicerki: ciemnoniebieski.</w:t>
      </w:r>
    </w:p>
    <w:p w:rsidR="00050DE9" w:rsidRPr="00CA341F" w:rsidRDefault="00050DE9" w:rsidP="00A519AE">
      <w:pPr>
        <w:pStyle w:val="Akapitzlist"/>
        <w:ind w:left="284"/>
        <w:jc w:val="both"/>
        <w:rPr>
          <w:rFonts w:asciiTheme="minorHAnsi" w:hAnsiTheme="minorHAnsi"/>
        </w:rPr>
      </w:pPr>
    </w:p>
    <w:p w:rsidR="00050DE9" w:rsidRPr="00CA341F" w:rsidRDefault="000B3987" w:rsidP="00171DF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A341F">
        <w:rPr>
          <w:rFonts w:asciiTheme="minorHAnsi" w:hAnsiTheme="minorHAnsi"/>
        </w:rPr>
        <w:t>9</w:t>
      </w:r>
      <w:r w:rsidR="00050DE9" w:rsidRPr="00CA341F">
        <w:rPr>
          <w:rFonts w:asciiTheme="minorHAnsi" w:hAnsiTheme="minorHAnsi"/>
        </w:rPr>
        <w:t xml:space="preserve"> </w:t>
      </w:r>
      <w:r w:rsidR="002769A0" w:rsidRPr="00CA341F">
        <w:rPr>
          <w:rFonts w:asciiTheme="minorHAnsi" w:hAnsiTheme="minorHAnsi"/>
        </w:rPr>
        <w:t xml:space="preserve">szt. </w:t>
      </w:r>
      <w:r w:rsidR="00050DE9" w:rsidRPr="00CA341F">
        <w:rPr>
          <w:rFonts w:asciiTheme="minorHAnsi" w:hAnsiTheme="minorHAnsi"/>
        </w:rPr>
        <w:t xml:space="preserve">na potrzeby </w:t>
      </w:r>
      <w:r w:rsidRPr="00CA341F">
        <w:rPr>
          <w:rFonts w:asciiTheme="minorHAnsi" w:hAnsiTheme="minorHAnsi"/>
        </w:rPr>
        <w:t>Poradni Ortodoncji</w:t>
      </w:r>
      <w:r w:rsidR="002769A0" w:rsidRPr="00CA341F">
        <w:rPr>
          <w:rFonts w:asciiTheme="minorHAnsi" w:hAnsiTheme="minorHAnsi"/>
        </w:rPr>
        <w:t>, kolor tapicerki: szary.</w:t>
      </w:r>
    </w:p>
    <w:p w:rsidR="00D5482F" w:rsidRPr="00CA341F" w:rsidRDefault="00D5482F" w:rsidP="00050DE9">
      <w:pPr>
        <w:pStyle w:val="Akapitzlist"/>
        <w:ind w:left="284"/>
        <w:jc w:val="both"/>
        <w:rPr>
          <w:rFonts w:asciiTheme="minorHAnsi" w:hAnsiTheme="minorHAnsi"/>
        </w:rPr>
      </w:pPr>
    </w:p>
    <w:p w:rsidR="00050DE9" w:rsidRPr="00CA341F" w:rsidRDefault="000B3987" w:rsidP="00DB2F6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A341F">
        <w:rPr>
          <w:rFonts w:asciiTheme="minorHAnsi" w:hAnsiTheme="minorHAnsi"/>
        </w:rPr>
        <w:t>4</w:t>
      </w:r>
      <w:r w:rsidR="00050DE9" w:rsidRPr="00CA341F">
        <w:rPr>
          <w:rFonts w:asciiTheme="minorHAnsi" w:hAnsiTheme="minorHAnsi"/>
        </w:rPr>
        <w:t xml:space="preserve"> </w:t>
      </w:r>
      <w:r w:rsidR="002769A0" w:rsidRPr="00CA341F">
        <w:rPr>
          <w:rFonts w:asciiTheme="minorHAnsi" w:hAnsiTheme="minorHAnsi"/>
        </w:rPr>
        <w:t xml:space="preserve">szt. </w:t>
      </w:r>
      <w:r w:rsidR="00050DE9" w:rsidRPr="00CA341F">
        <w:rPr>
          <w:rFonts w:asciiTheme="minorHAnsi" w:hAnsiTheme="minorHAnsi"/>
        </w:rPr>
        <w:t xml:space="preserve">na potrzeby </w:t>
      </w:r>
      <w:r w:rsidR="00B8103A" w:rsidRPr="00CA341F">
        <w:rPr>
          <w:rFonts w:asciiTheme="minorHAnsi" w:hAnsiTheme="minorHAnsi"/>
        </w:rPr>
        <w:t xml:space="preserve">Poradni </w:t>
      </w:r>
      <w:r w:rsidRPr="00CA341F">
        <w:rPr>
          <w:rFonts w:asciiTheme="minorHAnsi" w:hAnsiTheme="minorHAnsi"/>
        </w:rPr>
        <w:t>Chorób Przyzębia</w:t>
      </w:r>
      <w:r w:rsidR="002769A0" w:rsidRPr="00CA341F">
        <w:rPr>
          <w:rFonts w:asciiTheme="minorHAnsi" w:hAnsiTheme="minorHAnsi"/>
        </w:rPr>
        <w:t>, kolor tapicerki: ciemno</w:t>
      </w:r>
      <w:r w:rsidR="001D7AD2">
        <w:rPr>
          <w:rFonts w:asciiTheme="minorHAnsi" w:hAnsiTheme="minorHAnsi"/>
        </w:rPr>
        <w:t>popielaty</w:t>
      </w:r>
      <w:r w:rsidR="002769A0" w:rsidRPr="00CA341F">
        <w:rPr>
          <w:rFonts w:asciiTheme="minorHAnsi" w:hAnsiTheme="minorHAnsi"/>
        </w:rPr>
        <w:t>.</w:t>
      </w:r>
    </w:p>
    <w:p w:rsidR="00D5482F" w:rsidRPr="00CA341F" w:rsidRDefault="00D5482F" w:rsidP="00A519AE">
      <w:pPr>
        <w:pStyle w:val="Akapitzlist"/>
        <w:ind w:left="284"/>
        <w:jc w:val="both"/>
        <w:rPr>
          <w:rFonts w:asciiTheme="minorHAnsi" w:hAnsiTheme="minorHAnsi"/>
        </w:rPr>
      </w:pPr>
    </w:p>
    <w:p w:rsidR="00DA07D5" w:rsidRPr="001D7AD2" w:rsidRDefault="00050DE9" w:rsidP="001D7AD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CA341F">
        <w:rPr>
          <w:rFonts w:asciiTheme="minorHAnsi" w:hAnsiTheme="minorHAnsi"/>
        </w:rPr>
        <w:t>1</w:t>
      </w:r>
      <w:r w:rsidR="000B3987" w:rsidRPr="00CA341F">
        <w:rPr>
          <w:rFonts w:asciiTheme="minorHAnsi" w:hAnsiTheme="minorHAnsi"/>
        </w:rPr>
        <w:t>1</w:t>
      </w:r>
      <w:r w:rsidR="002769A0" w:rsidRPr="00CA341F">
        <w:rPr>
          <w:rFonts w:asciiTheme="minorHAnsi" w:hAnsiTheme="minorHAnsi"/>
        </w:rPr>
        <w:t xml:space="preserve"> szt.</w:t>
      </w:r>
      <w:r w:rsidRPr="00CA341F">
        <w:rPr>
          <w:rFonts w:asciiTheme="minorHAnsi" w:hAnsiTheme="minorHAnsi"/>
        </w:rPr>
        <w:t xml:space="preserve"> na potrzeby </w:t>
      </w:r>
      <w:r w:rsidR="000B3987" w:rsidRPr="00CA341F">
        <w:rPr>
          <w:rFonts w:asciiTheme="minorHAnsi" w:hAnsiTheme="minorHAnsi"/>
        </w:rPr>
        <w:t>Poradni Protetyki Stomatologicznej</w:t>
      </w:r>
      <w:r w:rsidR="002769A0" w:rsidRPr="00CA341F">
        <w:rPr>
          <w:rFonts w:asciiTheme="minorHAnsi" w:hAnsiTheme="minorHAnsi"/>
        </w:rPr>
        <w:t xml:space="preserve">: </w:t>
      </w:r>
      <w:r w:rsidRPr="00CA341F">
        <w:rPr>
          <w:rFonts w:asciiTheme="minorHAnsi" w:hAnsiTheme="minorHAnsi"/>
        </w:rPr>
        <w:t>kolor tapicerki</w:t>
      </w:r>
      <w:r w:rsidRPr="001D7AD2">
        <w:rPr>
          <w:rFonts w:asciiTheme="minorHAnsi" w:hAnsiTheme="minorHAnsi"/>
        </w:rPr>
        <w:t xml:space="preserve">: </w:t>
      </w:r>
      <w:r w:rsidR="001D7AD2" w:rsidRPr="001D7AD2">
        <w:rPr>
          <w:rFonts w:asciiTheme="minorHAnsi" w:hAnsiTheme="minorHAnsi"/>
        </w:rPr>
        <w:t xml:space="preserve">ciemnoniebieski </w:t>
      </w:r>
    </w:p>
    <w:p w:rsidR="001D7AD2" w:rsidRDefault="001D7AD2" w:rsidP="002769A0">
      <w:pPr>
        <w:jc w:val="both"/>
        <w:rPr>
          <w:rFonts w:asciiTheme="minorHAnsi" w:hAnsiTheme="minorHAnsi"/>
          <w:szCs w:val="24"/>
        </w:rPr>
      </w:pPr>
    </w:p>
    <w:p w:rsidR="00DA07D5" w:rsidRPr="00CA341F" w:rsidRDefault="00DA07D5" w:rsidP="002769A0">
      <w:pPr>
        <w:jc w:val="both"/>
        <w:rPr>
          <w:rFonts w:asciiTheme="minorHAnsi" w:hAnsiTheme="minorHAnsi"/>
          <w:szCs w:val="24"/>
        </w:rPr>
      </w:pPr>
      <w:r w:rsidRPr="00CA341F">
        <w:rPr>
          <w:rFonts w:asciiTheme="minorHAnsi" w:hAnsiTheme="minorHAnsi"/>
          <w:szCs w:val="24"/>
        </w:rPr>
        <w:t>Gwarancja</w:t>
      </w:r>
      <w:r w:rsidR="0019623D" w:rsidRPr="00CA341F">
        <w:rPr>
          <w:rFonts w:asciiTheme="minorHAnsi" w:hAnsiTheme="minorHAnsi"/>
          <w:szCs w:val="24"/>
        </w:rPr>
        <w:t xml:space="preserve"> i serwis</w:t>
      </w:r>
      <w:r w:rsidRPr="00CA341F">
        <w:rPr>
          <w:rFonts w:asciiTheme="minorHAnsi" w:hAnsiTheme="minorHAnsi"/>
          <w:szCs w:val="24"/>
        </w:rPr>
        <w:t xml:space="preserve">: </w:t>
      </w:r>
      <w:r w:rsidR="00237158" w:rsidRPr="00CA341F">
        <w:rPr>
          <w:rFonts w:asciiTheme="minorHAnsi" w:hAnsiTheme="minorHAnsi"/>
          <w:szCs w:val="24"/>
        </w:rPr>
        <w:t xml:space="preserve">min. </w:t>
      </w:r>
      <w:r w:rsidRPr="00CA341F">
        <w:rPr>
          <w:rFonts w:asciiTheme="minorHAnsi" w:hAnsiTheme="minorHAnsi"/>
          <w:szCs w:val="24"/>
        </w:rPr>
        <w:t>24 miesiące</w:t>
      </w:r>
      <w:r w:rsidR="00A519AE" w:rsidRPr="00CA341F">
        <w:rPr>
          <w:rFonts w:asciiTheme="minorHAnsi" w:hAnsiTheme="minorHAnsi"/>
          <w:szCs w:val="24"/>
        </w:rPr>
        <w:t xml:space="preserve"> (z wyłączeniem mikrosilnika na który gwarancja wynosi min. 36 miesięcy).</w:t>
      </w:r>
      <w:r w:rsidRPr="00CA341F">
        <w:rPr>
          <w:rFonts w:asciiTheme="minorHAnsi" w:hAnsiTheme="minorHAnsi"/>
          <w:szCs w:val="24"/>
        </w:rPr>
        <w:t xml:space="preserve"> </w:t>
      </w:r>
    </w:p>
    <w:p w:rsidR="00F81D80" w:rsidRPr="002769A0" w:rsidRDefault="00F81D80" w:rsidP="0018681A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6"/>
        <w:gridCol w:w="6436"/>
        <w:gridCol w:w="1316"/>
        <w:gridCol w:w="1265"/>
      </w:tblGrid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3" w:type="dxa"/>
          </w:tcPr>
          <w:p w:rsidR="002D4B11" w:rsidRPr="002769A0" w:rsidRDefault="000B4370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Wartość wymagana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Wartość oferowana</w:t>
            </w: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Fotel pacjenta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AB1F70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Ruch fotela/oparcia sterowany siłownikami elektrycznymi lub hydraulicznymi</w:t>
            </w:r>
            <w:r w:rsidR="009F473E" w:rsidRPr="002769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7435" w:rsidRPr="002769A0">
              <w:rPr>
                <w:rFonts w:asciiTheme="minorHAnsi" w:hAnsiTheme="minorHAnsi"/>
                <w:sz w:val="22"/>
                <w:szCs w:val="22"/>
              </w:rPr>
              <w:t>– udźwig min. 18</w:t>
            </w:r>
            <w:r w:rsidR="009F473E" w:rsidRPr="002769A0">
              <w:rPr>
                <w:rFonts w:asciiTheme="minorHAnsi" w:hAnsiTheme="minorHAnsi"/>
                <w:sz w:val="22"/>
                <w:szCs w:val="22"/>
              </w:rPr>
              <w:t>0 kg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Regulacja wysokości uniesienia fotela w zakresie do 800mm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Anatomiczny w kształcie zagłówek regulowany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Anatomiczny kształt siedziska i oparcia, podnoszone/uchylne podłokietniki lewy i prawy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Miękka i elastyczna, bezszwowa tapicerka.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D4B11" w:rsidRPr="002769A0" w:rsidRDefault="00AB1F70" w:rsidP="00AB1F70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AB1F70">
              <w:rPr>
                <w:rFonts w:asciiTheme="minorHAnsi" w:eastAsia="MyriadPro-Regular" w:hAnsiTheme="minorHAnsi" w:cs="MyriadPro-Regular"/>
                <w:sz w:val="22"/>
                <w:szCs w:val="22"/>
              </w:rPr>
              <w:t>Elementy tapicerki: siedziska, oparcia i zagłówk</w:t>
            </w:r>
            <w:r>
              <w:rPr>
                <w:rFonts w:asciiTheme="minorHAnsi" w:eastAsia="MyriadPro-Regular" w:hAnsiTheme="minorHAnsi" w:cs="MyriadPro-Regular"/>
                <w:sz w:val="22"/>
                <w:szCs w:val="22"/>
              </w:rPr>
              <w:t>i</w:t>
            </w:r>
            <w:r w:rsidRPr="00AB1F7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– z możliwością  szybkiego demontażu, wymiany (na stelażu)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2D4B11" w:rsidRPr="002769A0" w:rsidRDefault="009F473E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Jednoczesny ruch siedziska i oparcia do pozycji </w:t>
            </w:r>
            <w:proofErr w:type="spellStart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Trendelenburga</w:t>
            </w:r>
            <w:proofErr w:type="spellEnd"/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43" w:type="dxa"/>
          </w:tcPr>
          <w:p w:rsidR="002D4B11" w:rsidRPr="002769A0" w:rsidRDefault="00F222F9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F222F9">
              <w:rPr>
                <w:rFonts w:asciiTheme="minorHAnsi" w:eastAsia="MyriadPro-Regular" w:hAnsiTheme="minorHAnsi" w:cs="MyriadPro-Regular"/>
                <w:sz w:val="22"/>
                <w:szCs w:val="22"/>
              </w:rPr>
              <w:t>Możliwość instalacji jako unitu dla lekarza leworęcznego jak i praworęcznego. Zamawiający przed udzieleniem zamówienia określi rodzaj instalacji.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Opcjonalny prawy i lewy podłokietnik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Podstawa i kształt fotela umożliwiające bliskie podejście do pacjenta podczas pracy lekarza i asysty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Oparcie węższe w górnej części, w celu lepszego dostępu do pacjenta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Sterowanie fotela z panelu asysty i stolika lekarza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Brak oddzielnej skrzynki przyłączeniowej, przyłącza do unitu usytuowane bezpośrednio pod obudową unitu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Automatyczne pozycje fotela oraz pozycje programowane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Opcja odwrócenia zagłówka do tyłu, umożliwiająca przyjęcie pacjenta na wózku inwalidzkim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443" w:type="dxa"/>
          </w:tcPr>
          <w:p w:rsidR="002D4B11" w:rsidRPr="006C7156" w:rsidRDefault="002D4B11" w:rsidP="005B6C9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>Kolory tapicerki</w:t>
            </w:r>
            <w:r w:rsidR="005B6C9D"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>:</w:t>
            </w:r>
            <w:r w:rsidR="00F534CE"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</w:t>
            </w:r>
          </w:p>
          <w:p w:rsidR="005B6C9D" w:rsidRPr="006C7156" w:rsidRDefault="005B6C9D" w:rsidP="005B6C9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>szary – 9 szt.,</w:t>
            </w:r>
          </w:p>
          <w:p w:rsidR="005B6C9D" w:rsidRPr="006C7156" w:rsidRDefault="005B6C9D" w:rsidP="005B6C9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>ciemnopopielaty – 4 szt.,</w:t>
            </w:r>
          </w:p>
          <w:p w:rsidR="005B6C9D" w:rsidRDefault="006C7156" w:rsidP="005B6C9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>ciemnoniebieski – 12</w:t>
            </w:r>
            <w:r w:rsidR="005B6C9D" w:rsidRPr="006C7156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szt.</w:t>
            </w:r>
            <w:bookmarkStart w:id="0" w:name="_GoBack"/>
            <w:bookmarkEnd w:id="0"/>
          </w:p>
          <w:p w:rsidR="006C7156" w:rsidRPr="002769A0" w:rsidRDefault="006C7156" w:rsidP="005B6C9D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>
              <w:rPr>
                <w:rFonts w:asciiTheme="minorHAnsi" w:eastAsia="MyriadPro-Regular" w:hAnsiTheme="minorHAnsi" w:cs="MyriadPro-Regular"/>
                <w:sz w:val="22"/>
                <w:szCs w:val="22"/>
              </w:rPr>
              <w:t>ciemnożółty (nasycony żółty) – 11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Najazdowy wyłącznik bezpieczeństwa ruchu fotela 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 xml:space="preserve">Konstrukcja nośna fotela wykonana z metalu </w:t>
            </w:r>
          </w:p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 xml:space="preserve">Napięcie zasilające 230 V / 50 </w:t>
            </w:r>
            <w:proofErr w:type="spellStart"/>
            <w:r w:rsidRPr="002769A0">
              <w:rPr>
                <w:rFonts w:asciiTheme="minorHAnsi" w:hAnsiTheme="minorHAnsi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 xml:space="preserve">Stolik lekarza 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Wersja z rękawami od góry: </w:t>
            </w: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stolik</w:t>
            </w:r>
            <w:r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 </w:t>
            </w: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zamocowany na ramieniu umożliwiającym szeroki zakres ruchu </w:t>
            </w:r>
            <w:r w:rsidR="00F222F9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i obrotu </w:t>
            </w: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w kilku kierunkach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rPr>
          <w:trHeight w:val="418"/>
        </w:trPr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Możliwość montażu pięciu rękawów instrumentów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Możliwość sterowania ustawieniami parametrów instrumentów, spluwaczki, fotela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Ruchome wsporniki rękawów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Łatwy dostęp dla personelu medycznego w celu dezynfekcji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Rękawy instrumentów wyposażone w system </w:t>
            </w:r>
            <w:proofErr w:type="spellStart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a</w:t>
            </w:r>
            <w:r w:rsidR="00306840"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n</w:t>
            </w: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tyretrakcyjny</w:t>
            </w:r>
            <w:proofErr w:type="spellEnd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 – zapobiegający zasysaniu wody do środka unitu.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Regulacja naciągu sprężyn ramienia instrumentów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Sterowanie parametrami pracy:</w:t>
            </w:r>
          </w:p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-zmiana kierunku obrotów mikrosilnika</w:t>
            </w:r>
          </w:p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-sprayu na końcówkach</w:t>
            </w:r>
          </w:p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-spłukiwanie misy spluwaczki i napełnianie kubka</w:t>
            </w:r>
          </w:p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-sterowanie fotelem poprzez przyciski pozycji programowych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Przyciski sterowania oparciem góra-dół i siedziskiem góra-dół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Przedmuch powietrza w końcówkach (chip </w:t>
            </w:r>
            <w:proofErr w:type="spellStart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blower</w:t>
            </w:r>
            <w:proofErr w:type="spellEnd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) w aktywnych instrumentach, uruchamiany ze sterownika nożnego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Możliwość umieszczenia instrumentów (turbina, mikrosilnik, </w:t>
            </w:r>
            <w:proofErr w:type="spellStart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skaler</w:t>
            </w:r>
            <w:proofErr w:type="spellEnd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) na stoliku lekarza w dowolnej kolejności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443" w:type="dxa"/>
          </w:tcPr>
          <w:p w:rsidR="002D4B11" w:rsidRPr="002769A0" w:rsidRDefault="009F473E" w:rsidP="000A1B65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Uchwyty z możliwością dezynfekcji oraz sterylizacji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Możliwość montażu tacy na narzędzia z wymiennymi tackami z możliwością sterylizacji w autoklawie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Stolik asysty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Stolik asysty na ramieniu, z regulacją wysokości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Miejsce na instrumenty, w tym: rękaw ssaka, rękaw ślinociągu, lampy polimeryzacyjnej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Przyciski sterowania fotelem pacjenta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Przyciski napełniania kubka i spłukiwania misy spluwaczki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C520A4">
            <w:pPr>
              <w:jc w:val="both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>System ssący wyposażony w sito/filtr z możliwością oczyszczania przez personel medyczny bez użycia dodatkowych narzędzi lub serwisu</w:t>
            </w:r>
            <w:r w:rsidR="00C520A4" w:rsidRPr="002769A0">
              <w:rPr>
                <w:rFonts w:asciiTheme="minorHAnsi" w:hAnsiTheme="minorHAnsi" w:cs="Arial"/>
                <w:sz w:val="22"/>
                <w:szCs w:val="22"/>
              </w:rPr>
              <w:t xml:space="preserve"> (drugi komplet sitek filtrów na wyposażeniu)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Blok spluwaczki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 xml:space="preserve">Ceramiczna, obracana misa spluwaczki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Cs/>
                <w:sz w:val="22"/>
                <w:szCs w:val="22"/>
              </w:rPr>
              <w:t>Unit przystosowany do współpracy z suchym centralnym systemem ssącym z zainstalowanym w unicie wewnętrznym separatorem  mokrym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Misa spluwaczki możliwa do dezynfekcji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Spłukiwanie miski spluwaczki dostępne z pulpitu asysty/lekarza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Napełnianie kubka pacjenta dostępne z pulpitu asysty/lekarza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D4B11" w:rsidRPr="002769A0" w:rsidRDefault="002D4B11" w:rsidP="00107F5E">
            <w:pPr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>Zamknięty system wody destylowanej chłodzącej narzędzia</w:t>
            </w:r>
            <w:r w:rsidR="00107F5E"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(drugi zasobnik wymienny na wyposażeniu)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>Obieg  wody zewnętrznej do spłukiwania separatora, misy spluwaczki i napełniania kubka pacjenta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VI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Lampa zabiegowa</w:t>
            </w: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- systemy świetlne w technologii LED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Temperatura barwowa emitowanego światła regulowana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Odwzorowanie kolorów zbliżone do światła dziennego. </w:t>
            </w:r>
            <w:r w:rsidRPr="002769A0">
              <w:rPr>
                <w:rFonts w:asciiTheme="minorHAnsi" w:hAnsiTheme="minorHAnsi" w:cs="Arial"/>
                <w:sz w:val="22"/>
                <w:szCs w:val="22"/>
              </w:rPr>
              <w:t>Indeks odwzorowania kolorów (CRI) min. 90 w pełnym zakresie kolorów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Zakres regulacji ustawienia lampy w różnych płaszczyznach, obrót </w:t>
            </w: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 xml:space="preserve">lampy w prawo i lewo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1E11F3" w:rsidP="009E66BD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 xml:space="preserve">Możliwość dezynfekcji oraz sterylizacji uchwytów lampy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>Włączanie i wyłączanie lampy</w:t>
            </w:r>
            <w:r w:rsidRPr="002769A0">
              <w:rPr>
                <w:rFonts w:asciiTheme="minorHAnsi" w:hAnsiTheme="minorHAnsi"/>
                <w:sz w:val="22"/>
                <w:szCs w:val="22"/>
              </w:rPr>
              <w:t xml:space="preserve"> na kilka sposobów/miejsc unitu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 xml:space="preserve">Tryb anty polimeryzacyjny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>Brak wentylatora w lampie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>Mocowanie na ramieniu montowanym do unitu stomatologicznego o szerokim zasięgu ruchu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>Gładka powierzchnia, bez miejsc na śruby, ułatwiająca dezynfekcję powierzchniową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sz w:val="22"/>
                <w:szCs w:val="22"/>
              </w:rPr>
              <w:t xml:space="preserve">Sterowanie barwą i natężeniem światła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b/>
                <w:sz w:val="22"/>
                <w:szCs w:val="22"/>
              </w:rPr>
              <w:t>Wielofunkcyjny sterownik nożny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>Regulacja pracy narzędzi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Włączenie/wyłączenie funkcji przedmuchu instrumentów (tzw.  „chip </w:t>
            </w:r>
            <w:proofErr w:type="spellStart"/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>blower</w:t>
            </w:r>
            <w:proofErr w:type="spellEnd"/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”)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widowControl w:val="0"/>
              <w:tabs>
                <w:tab w:val="left" w:pos="563"/>
              </w:tabs>
              <w:suppressAutoHyphens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769A0">
              <w:rPr>
                <w:rFonts w:asciiTheme="minorHAnsi" w:hAnsiTheme="minorHAnsi" w:cs="Arial"/>
                <w:color w:val="000000"/>
                <w:sz w:val="22"/>
                <w:szCs w:val="22"/>
              </w:rPr>
              <w:t>Sterowanie sprayem w końcówkach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</w:p>
        </w:tc>
        <w:tc>
          <w:tcPr>
            <w:tcW w:w="6443" w:type="dxa"/>
          </w:tcPr>
          <w:p w:rsidR="005563FC" w:rsidRPr="002769A0" w:rsidRDefault="002D4B11" w:rsidP="00972A0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Rękaw mikrosilnika ze światłem</w:t>
            </w:r>
            <w:r w:rsidR="005563FC"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 </w:t>
            </w:r>
          </w:p>
          <w:p w:rsidR="002D4B11" w:rsidRPr="002769A0" w:rsidRDefault="005563FC" w:rsidP="00972A0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(gwarancja </w:t>
            </w:r>
            <w:r w:rsidR="00F70919"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 xml:space="preserve">min. </w:t>
            </w:r>
            <w:r w:rsidRPr="002769A0">
              <w:rPr>
                <w:rFonts w:asciiTheme="minorHAnsi" w:eastAsia="MyriadPro-Regular" w:hAnsiTheme="minorHAnsi" w:cs="MyriadPro-Regular"/>
                <w:b/>
                <w:sz w:val="22"/>
                <w:szCs w:val="22"/>
              </w:rPr>
              <w:t>36 miesięcy)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Ergonomiczny uchwyt dzięki elastycznie obracającemu się rękawowi.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Mikrosilnik </w:t>
            </w:r>
            <w:proofErr w:type="spellStart"/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bezszczotkowy</w:t>
            </w:r>
            <w:proofErr w:type="spellEnd"/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F222F9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F222F9">
              <w:rPr>
                <w:rFonts w:asciiTheme="minorHAnsi" w:eastAsia="MyriadPro-Regular" w:hAnsiTheme="minorHAnsi" w:cs="MyriadPro-Regular"/>
                <w:sz w:val="22"/>
                <w:szCs w:val="22"/>
              </w:rPr>
              <w:t>Zakres obrotów od 0 do 40 000 na minutę.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Ustawianie kierunku obrotów (prawo – lewo)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 xml:space="preserve">Źródło światła LED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Wewnętrzny system chłodzenia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eastAsia="MyriadPro-Regular" w:hAnsiTheme="minorHAnsi" w:cs="MyriadPro-Regular"/>
                <w:sz w:val="22"/>
                <w:szCs w:val="22"/>
              </w:rPr>
              <w:t>System zapobiegania zasysania wody i powietrza do wewnątrz instrumentu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IX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jc w:val="center"/>
              <w:rPr>
                <w:rFonts w:asciiTheme="minorHAnsi" w:eastAsia="MyriadPro-Regular" w:hAnsiTheme="minorHAnsi" w:cs="MyriadPro-Regular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/>
                <w:sz w:val="22"/>
                <w:szCs w:val="22"/>
              </w:rPr>
              <w:t>Dmuchawka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9F473E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3 – funkcyjna, z możliwością sterylizacji jej obudowy lub całej dmuchawki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Przyciski sterujące w dmuchawce zabezpieczone w sposób uniemożliwiający przedostawanie się zanieczyszczeń do jej wnętrza.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Możliwość sterylizacji końcówki/noska.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Szybkozłączka</w:t>
            </w:r>
            <w:proofErr w:type="spellEnd"/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na rękawie powietrznym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Montowana na rękaw typu </w:t>
            </w:r>
            <w:proofErr w:type="spellStart"/>
            <w:r w:rsidRPr="002769A0">
              <w:rPr>
                <w:rFonts w:asciiTheme="minorHAnsi" w:hAnsiTheme="minorHAnsi" w:cs="Tahoma"/>
                <w:bCs/>
                <w:sz w:val="22"/>
                <w:szCs w:val="22"/>
              </w:rPr>
              <w:t>Midwest</w:t>
            </w:r>
            <w:proofErr w:type="spellEnd"/>
            <w:r w:rsidRPr="002769A0">
              <w:rPr>
                <w:rFonts w:asciiTheme="minorHAnsi" w:hAnsiTheme="minorHAnsi" w:cs="Tahoma"/>
                <w:bCs/>
                <w:sz w:val="22"/>
                <w:szCs w:val="22"/>
              </w:rPr>
              <w:t>, oraz zgodna z dotychczas użytkowanym typem końcówek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Regulacja sprayu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Dioda LED jako źródło światła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System zabezpieczający unit przed powrotem wody do rękawa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XI</w:t>
            </w:r>
          </w:p>
        </w:tc>
        <w:tc>
          <w:tcPr>
            <w:tcW w:w="6443" w:type="dxa"/>
          </w:tcPr>
          <w:p w:rsidR="002D4B11" w:rsidRPr="002769A0" w:rsidRDefault="002D4B11" w:rsidP="002D4B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Skaler</w:t>
            </w:r>
            <w:proofErr w:type="spellEnd"/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piezoelektryczny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Trzy końcówki standardowe</w:t>
            </w:r>
            <w:r w:rsidR="000A547B" w:rsidRPr="002769A0">
              <w:rPr>
                <w:rFonts w:asciiTheme="minorHAnsi" w:hAnsiTheme="minorHAnsi" w:cs="Tahoma"/>
                <w:sz w:val="22"/>
                <w:szCs w:val="22"/>
              </w:rPr>
              <w:t xml:space="preserve"> oraz klucz na wyposażeniu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 xml:space="preserve">Możliwość płynnej lub wielostopniowej regulacji mocy </w:t>
            </w:r>
            <w:proofErr w:type="spellStart"/>
            <w:r w:rsidRPr="002769A0">
              <w:rPr>
                <w:rFonts w:asciiTheme="minorHAnsi" w:hAnsiTheme="minorHAnsi" w:cs="Tahoma"/>
                <w:sz w:val="22"/>
                <w:szCs w:val="22"/>
              </w:rPr>
              <w:t>skalera</w:t>
            </w:r>
            <w:proofErr w:type="spellEnd"/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proofErr w:type="spellStart"/>
            <w:r w:rsidRPr="002769A0">
              <w:rPr>
                <w:rFonts w:asciiTheme="minorHAnsi" w:hAnsiTheme="minorHAnsi" w:cs="Tahoma"/>
                <w:sz w:val="22"/>
                <w:szCs w:val="22"/>
              </w:rPr>
              <w:t>Skaler</w:t>
            </w:r>
            <w:proofErr w:type="spellEnd"/>
            <w:r w:rsidRPr="002769A0">
              <w:rPr>
                <w:rFonts w:asciiTheme="minorHAnsi" w:hAnsiTheme="minorHAnsi" w:cs="Tahoma"/>
                <w:sz w:val="22"/>
                <w:szCs w:val="22"/>
              </w:rPr>
              <w:t xml:space="preserve"> bez światła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47B" w:rsidRPr="002769A0" w:rsidTr="00972A0E">
        <w:tc>
          <w:tcPr>
            <w:tcW w:w="697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0A547B" w:rsidRPr="002769A0" w:rsidRDefault="000A547B" w:rsidP="00972A0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Możliwość dezynfekcji i sterylizacji rękojeści roboczej i końcówek</w:t>
            </w:r>
          </w:p>
        </w:tc>
        <w:tc>
          <w:tcPr>
            <w:tcW w:w="1316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6443" w:type="dxa"/>
          </w:tcPr>
          <w:p w:rsidR="002D4B11" w:rsidRPr="002769A0" w:rsidRDefault="002D4B11" w:rsidP="002D4B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Lama polimeryzacyjna 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Mocowana na stoliku asysty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Dioda LED jako źródło światła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4B11" w:rsidRPr="002769A0" w:rsidTr="00972A0E">
        <w:tc>
          <w:tcPr>
            <w:tcW w:w="697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43" w:type="dxa"/>
          </w:tcPr>
          <w:p w:rsidR="002D4B11" w:rsidRPr="002769A0" w:rsidRDefault="002D4B11" w:rsidP="00972A0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Nastawy naświetlania</w:t>
            </w:r>
          </w:p>
        </w:tc>
        <w:tc>
          <w:tcPr>
            <w:tcW w:w="1316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2D4B11" w:rsidRPr="002769A0" w:rsidRDefault="002D4B11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47B" w:rsidRPr="002769A0" w:rsidTr="00972A0E">
        <w:tc>
          <w:tcPr>
            <w:tcW w:w="697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43" w:type="dxa"/>
          </w:tcPr>
          <w:p w:rsidR="000A547B" w:rsidRPr="002769A0" w:rsidRDefault="000A547B" w:rsidP="00972A0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sz w:val="22"/>
                <w:szCs w:val="22"/>
              </w:rPr>
              <w:t>Możliwość dezynfekcji i sterylizacji końcówki światłowodowej</w:t>
            </w:r>
          </w:p>
        </w:tc>
        <w:tc>
          <w:tcPr>
            <w:tcW w:w="1316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0A547B" w:rsidRPr="002769A0" w:rsidRDefault="000A547B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6F2C" w:rsidRPr="002769A0" w:rsidTr="00972A0E">
        <w:tc>
          <w:tcPr>
            <w:tcW w:w="697" w:type="dxa"/>
          </w:tcPr>
          <w:p w:rsidR="00376F2C" w:rsidRPr="002769A0" w:rsidRDefault="00376F2C" w:rsidP="00972A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/>
                <w:b/>
                <w:sz w:val="22"/>
                <w:szCs w:val="22"/>
              </w:rPr>
              <w:t>XIII</w:t>
            </w:r>
          </w:p>
        </w:tc>
        <w:tc>
          <w:tcPr>
            <w:tcW w:w="6443" w:type="dxa"/>
          </w:tcPr>
          <w:p w:rsidR="00376F2C" w:rsidRPr="002769A0" w:rsidRDefault="00376F2C" w:rsidP="00376F2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769A0">
              <w:rPr>
                <w:rFonts w:asciiTheme="minorHAnsi" w:hAnsiTheme="minorHAnsi" w:cs="Tahoma"/>
                <w:b/>
                <w:sz w:val="22"/>
                <w:szCs w:val="22"/>
              </w:rPr>
              <w:t>Paszport techniczny unitu</w:t>
            </w:r>
          </w:p>
        </w:tc>
        <w:tc>
          <w:tcPr>
            <w:tcW w:w="1316" w:type="dxa"/>
          </w:tcPr>
          <w:p w:rsidR="00376F2C" w:rsidRPr="002769A0" w:rsidRDefault="00376F2C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9A0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265" w:type="dxa"/>
          </w:tcPr>
          <w:p w:rsidR="00376F2C" w:rsidRPr="002769A0" w:rsidRDefault="00376F2C" w:rsidP="00972A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4B11" w:rsidRPr="002769A0" w:rsidRDefault="002D4B11" w:rsidP="0018681A">
      <w:pPr>
        <w:pStyle w:val="Akapitzlist"/>
        <w:ind w:left="284"/>
        <w:rPr>
          <w:rFonts w:asciiTheme="minorHAnsi" w:hAnsiTheme="minorHAnsi"/>
          <w:sz w:val="22"/>
          <w:szCs w:val="22"/>
        </w:rPr>
      </w:pPr>
    </w:p>
    <w:sectPr w:rsidR="002D4B11" w:rsidRPr="002769A0" w:rsidSect="00B56DA4">
      <w:headerReference w:type="default" r:id="rId7"/>
      <w:footerReference w:type="default" r:id="rId8"/>
      <w:pgSz w:w="11906" w:h="16838"/>
      <w:pgMar w:top="567" w:right="924" w:bottom="1418" w:left="1259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0E" w:rsidRDefault="00534C0E">
      <w:r>
        <w:separator/>
      </w:r>
    </w:p>
  </w:endnote>
  <w:endnote w:type="continuationSeparator" w:id="0">
    <w:p w:rsidR="00534C0E" w:rsidRDefault="0053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31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F0D0B" w:rsidRPr="000F0D0B" w:rsidRDefault="000F0D0B">
        <w:pPr>
          <w:pStyle w:val="Stopka"/>
          <w:jc w:val="center"/>
          <w:rPr>
            <w:rFonts w:ascii="Times New Roman" w:hAnsi="Times New Roman"/>
            <w:sz w:val="20"/>
          </w:rPr>
        </w:pPr>
        <w:r w:rsidRPr="000F0D0B">
          <w:rPr>
            <w:rFonts w:ascii="Times New Roman" w:hAnsi="Times New Roman"/>
            <w:sz w:val="20"/>
          </w:rPr>
          <w:fldChar w:fldCharType="begin"/>
        </w:r>
        <w:r w:rsidRPr="000F0D0B">
          <w:rPr>
            <w:rFonts w:ascii="Times New Roman" w:hAnsi="Times New Roman"/>
            <w:sz w:val="20"/>
          </w:rPr>
          <w:instrText>PAGE   \* MERGEFORMAT</w:instrText>
        </w:r>
        <w:r w:rsidRPr="000F0D0B">
          <w:rPr>
            <w:rFonts w:ascii="Times New Roman" w:hAnsi="Times New Roman"/>
            <w:sz w:val="20"/>
          </w:rPr>
          <w:fldChar w:fldCharType="separate"/>
        </w:r>
        <w:r w:rsidR="006C7156">
          <w:rPr>
            <w:rFonts w:ascii="Times New Roman" w:hAnsi="Times New Roman"/>
            <w:noProof/>
            <w:sz w:val="20"/>
          </w:rPr>
          <w:t>3</w:t>
        </w:r>
        <w:r w:rsidRPr="000F0D0B">
          <w:rPr>
            <w:rFonts w:ascii="Times New Roman" w:hAnsi="Times New Roman"/>
            <w:sz w:val="20"/>
          </w:rPr>
          <w:fldChar w:fldCharType="end"/>
        </w:r>
      </w:p>
    </w:sdtContent>
  </w:sdt>
  <w:p w:rsidR="000F0D0B" w:rsidRDefault="000F0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0E" w:rsidRDefault="00534C0E">
      <w:r>
        <w:separator/>
      </w:r>
    </w:p>
  </w:footnote>
  <w:footnote w:type="continuationSeparator" w:id="0">
    <w:p w:rsidR="00534C0E" w:rsidRDefault="0053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Default="000F0D0B" w:rsidP="00053E68">
    <w:pPr>
      <w:pStyle w:val="Nagwek"/>
    </w:pPr>
    <w:r>
      <w:rPr>
        <w:rFonts w:ascii="Times New Roman" w:hAnsi="Times New Roman"/>
        <w:sz w:val="20"/>
      </w:rPr>
      <w:t>Sprawa nr: DZP-271-547/17</w:t>
    </w:r>
    <w:r w:rsidR="00F972F0" w:rsidRPr="00053E68">
      <w:t xml:space="preserve"> </w:t>
    </w:r>
  </w:p>
  <w:p w:rsidR="002769A0" w:rsidRPr="00053E68" w:rsidRDefault="002769A0" w:rsidP="00053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22957EC"/>
    <w:multiLevelType w:val="hybridMultilevel"/>
    <w:tmpl w:val="624EA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" w15:restartNumberingAfterBreak="0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5B22"/>
    <w:multiLevelType w:val="hybridMultilevel"/>
    <w:tmpl w:val="6D4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20103"/>
    <w:rsid w:val="000264A0"/>
    <w:rsid w:val="00026AFB"/>
    <w:rsid w:val="00043358"/>
    <w:rsid w:val="00050DE9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1B65"/>
    <w:rsid w:val="000A385F"/>
    <w:rsid w:val="000A547B"/>
    <w:rsid w:val="000B3987"/>
    <w:rsid w:val="000B4370"/>
    <w:rsid w:val="000C0498"/>
    <w:rsid w:val="000C6CEA"/>
    <w:rsid w:val="000D1127"/>
    <w:rsid w:val="000F0D0B"/>
    <w:rsid w:val="00107F5E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677A5"/>
    <w:rsid w:val="001821E5"/>
    <w:rsid w:val="0018681A"/>
    <w:rsid w:val="00191EC9"/>
    <w:rsid w:val="001926D2"/>
    <w:rsid w:val="001939EF"/>
    <w:rsid w:val="0019623D"/>
    <w:rsid w:val="00196424"/>
    <w:rsid w:val="001A0D5C"/>
    <w:rsid w:val="001A2C78"/>
    <w:rsid w:val="001A7915"/>
    <w:rsid w:val="001B26EB"/>
    <w:rsid w:val="001B68D1"/>
    <w:rsid w:val="001C0CAB"/>
    <w:rsid w:val="001C194F"/>
    <w:rsid w:val="001D7AD2"/>
    <w:rsid w:val="001E11F3"/>
    <w:rsid w:val="001F190E"/>
    <w:rsid w:val="001F6440"/>
    <w:rsid w:val="00207DA1"/>
    <w:rsid w:val="00215C76"/>
    <w:rsid w:val="002213A9"/>
    <w:rsid w:val="00224EC2"/>
    <w:rsid w:val="002300E6"/>
    <w:rsid w:val="00237158"/>
    <w:rsid w:val="002425B9"/>
    <w:rsid w:val="002769A0"/>
    <w:rsid w:val="00295220"/>
    <w:rsid w:val="002B6173"/>
    <w:rsid w:val="002B6956"/>
    <w:rsid w:val="002C7EEF"/>
    <w:rsid w:val="002D0CF6"/>
    <w:rsid w:val="002D2F5D"/>
    <w:rsid w:val="002D4B11"/>
    <w:rsid w:val="002E025F"/>
    <w:rsid w:val="002F08D0"/>
    <w:rsid w:val="002F2D19"/>
    <w:rsid w:val="002F6DA7"/>
    <w:rsid w:val="00304F1E"/>
    <w:rsid w:val="00306840"/>
    <w:rsid w:val="00313ECD"/>
    <w:rsid w:val="003158D2"/>
    <w:rsid w:val="0032531B"/>
    <w:rsid w:val="003273C6"/>
    <w:rsid w:val="00331747"/>
    <w:rsid w:val="00333CB4"/>
    <w:rsid w:val="00355EB5"/>
    <w:rsid w:val="00365C6A"/>
    <w:rsid w:val="00376F2C"/>
    <w:rsid w:val="003948F3"/>
    <w:rsid w:val="003A1BCC"/>
    <w:rsid w:val="003A2B46"/>
    <w:rsid w:val="003B1E6D"/>
    <w:rsid w:val="003B6798"/>
    <w:rsid w:val="003C1AB3"/>
    <w:rsid w:val="003D108D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6C21"/>
    <w:rsid w:val="00461BF5"/>
    <w:rsid w:val="00474B71"/>
    <w:rsid w:val="00482570"/>
    <w:rsid w:val="00497488"/>
    <w:rsid w:val="00497693"/>
    <w:rsid w:val="00497D8B"/>
    <w:rsid w:val="004B4400"/>
    <w:rsid w:val="004B7435"/>
    <w:rsid w:val="004C5D9F"/>
    <w:rsid w:val="004D24B6"/>
    <w:rsid w:val="004E2A4B"/>
    <w:rsid w:val="005123E8"/>
    <w:rsid w:val="005129AB"/>
    <w:rsid w:val="00517211"/>
    <w:rsid w:val="00520D52"/>
    <w:rsid w:val="0052752C"/>
    <w:rsid w:val="005344EB"/>
    <w:rsid w:val="00534C0E"/>
    <w:rsid w:val="00542548"/>
    <w:rsid w:val="00543EF7"/>
    <w:rsid w:val="0054731A"/>
    <w:rsid w:val="00554C75"/>
    <w:rsid w:val="005556AB"/>
    <w:rsid w:val="005563FC"/>
    <w:rsid w:val="00561DEE"/>
    <w:rsid w:val="00563EC8"/>
    <w:rsid w:val="005824AB"/>
    <w:rsid w:val="0059586A"/>
    <w:rsid w:val="005A0FB7"/>
    <w:rsid w:val="005B6C9D"/>
    <w:rsid w:val="005C3EC8"/>
    <w:rsid w:val="005C5182"/>
    <w:rsid w:val="005C60DB"/>
    <w:rsid w:val="005D0239"/>
    <w:rsid w:val="005D4022"/>
    <w:rsid w:val="005D5597"/>
    <w:rsid w:val="005D5689"/>
    <w:rsid w:val="005E136F"/>
    <w:rsid w:val="005E34B3"/>
    <w:rsid w:val="005E62B9"/>
    <w:rsid w:val="005F031A"/>
    <w:rsid w:val="005F0851"/>
    <w:rsid w:val="005F0A06"/>
    <w:rsid w:val="0061723E"/>
    <w:rsid w:val="00630050"/>
    <w:rsid w:val="00635FDE"/>
    <w:rsid w:val="00636EEF"/>
    <w:rsid w:val="00640B20"/>
    <w:rsid w:val="00643CAA"/>
    <w:rsid w:val="0066477C"/>
    <w:rsid w:val="00673B49"/>
    <w:rsid w:val="00683BD3"/>
    <w:rsid w:val="006876E1"/>
    <w:rsid w:val="006A0E1D"/>
    <w:rsid w:val="006A6268"/>
    <w:rsid w:val="006A77F0"/>
    <w:rsid w:val="006B090B"/>
    <w:rsid w:val="006B0E4B"/>
    <w:rsid w:val="006C7156"/>
    <w:rsid w:val="006D2E21"/>
    <w:rsid w:val="006F1992"/>
    <w:rsid w:val="006F3948"/>
    <w:rsid w:val="00712C8F"/>
    <w:rsid w:val="0072353B"/>
    <w:rsid w:val="00725094"/>
    <w:rsid w:val="007252A5"/>
    <w:rsid w:val="0072663B"/>
    <w:rsid w:val="0073190C"/>
    <w:rsid w:val="00740738"/>
    <w:rsid w:val="00750E44"/>
    <w:rsid w:val="0075431E"/>
    <w:rsid w:val="007601C8"/>
    <w:rsid w:val="00763DE5"/>
    <w:rsid w:val="007731AD"/>
    <w:rsid w:val="007871EC"/>
    <w:rsid w:val="007A0B6E"/>
    <w:rsid w:val="007B24AA"/>
    <w:rsid w:val="007C483F"/>
    <w:rsid w:val="007C6A0E"/>
    <w:rsid w:val="007D5322"/>
    <w:rsid w:val="007D71CE"/>
    <w:rsid w:val="007E2F7E"/>
    <w:rsid w:val="007E627F"/>
    <w:rsid w:val="007F6919"/>
    <w:rsid w:val="008167ED"/>
    <w:rsid w:val="00823AF0"/>
    <w:rsid w:val="0084360A"/>
    <w:rsid w:val="00850CF7"/>
    <w:rsid w:val="008716A7"/>
    <w:rsid w:val="0087603F"/>
    <w:rsid w:val="00890DDF"/>
    <w:rsid w:val="00893802"/>
    <w:rsid w:val="008A4186"/>
    <w:rsid w:val="008B1CF7"/>
    <w:rsid w:val="008C7B36"/>
    <w:rsid w:val="008D64E6"/>
    <w:rsid w:val="008E2FBD"/>
    <w:rsid w:val="008F2757"/>
    <w:rsid w:val="00926337"/>
    <w:rsid w:val="009331E2"/>
    <w:rsid w:val="009428E7"/>
    <w:rsid w:val="00950D05"/>
    <w:rsid w:val="0095648D"/>
    <w:rsid w:val="00956EF8"/>
    <w:rsid w:val="00963C2D"/>
    <w:rsid w:val="00965FF4"/>
    <w:rsid w:val="009702D0"/>
    <w:rsid w:val="00990851"/>
    <w:rsid w:val="009A0BA8"/>
    <w:rsid w:val="009A4ABE"/>
    <w:rsid w:val="009A6717"/>
    <w:rsid w:val="009B04E6"/>
    <w:rsid w:val="009C0C54"/>
    <w:rsid w:val="009C1750"/>
    <w:rsid w:val="009C3BC2"/>
    <w:rsid w:val="009D2E68"/>
    <w:rsid w:val="009D3793"/>
    <w:rsid w:val="009E5E59"/>
    <w:rsid w:val="009E66BD"/>
    <w:rsid w:val="009F214A"/>
    <w:rsid w:val="009F473E"/>
    <w:rsid w:val="00A1177F"/>
    <w:rsid w:val="00A13887"/>
    <w:rsid w:val="00A16D80"/>
    <w:rsid w:val="00A21FBA"/>
    <w:rsid w:val="00A33BCF"/>
    <w:rsid w:val="00A365BE"/>
    <w:rsid w:val="00A3758B"/>
    <w:rsid w:val="00A45C14"/>
    <w:rsid w:val="00A519AE"/>
    <w:rsid w:val="00A543B9"/>
    <w:rsid w:val="00A57402"/>
    <w:rsid w:val="00A71C43"/>
    <w:rsid w:val="00A81EB9"/>
    <w:rsid w:val="00A86319"/>
    <w:rsid w:val="00A9319A"/>
    <w:rsid w:val="00AA4B9A"/>
    <w:rsid w:val="00AB0FFD"/>
    <w:rsid w:val="00AB1F70"/>
    <w:rsid w:val="00AB4B49"/>
    <w:rsid w:val="00AC078A"/>
    <w:rsid w:val="00AC0F29"/>
    <w:rsid w:val="00AC1111"/>
    <w:rsid w:val="00AC1ED2"/>
    <w:rsid w:val="00AD5AD8"/>
    <w:rsid w:val="00AD6276"/>
    <w:rsid w:val="00AD6788"/>
    <w:rsid w:val="00AE1C98"/>
    <w:rsid w:val="00AE6E27"/>
    <w:rsid w:val="00B01AB2"/>
    <w:rsid w:val="00B0281C"/>
    <w:rsid w:val="00B11BE9"/>
    <w:rsid w:val="00B151D5"/>
    <w:rsid w:val="00B15B19"/>
    <w:rsid w:val="00B24431"/>
    <w:rsid w:val="00B318D9"/>
    <w:rsid w:val="00B56DA4"/>
    <w:rsid w:val="00B64E41"/>
    <w:rsid w:val="00B7496E"/>
    <w:rsid w:val="00B8103A"/>
    <w:rsid w:val="00B83257"/>
    <w:rsid w:val="00B850C4"/>
    <w:rsid w:val="00B861AB"/>
    <w:rsid w:val="00B92B17"/>
    <w:rsid w:val="00B96729"/>
    <w:rsid w:val="00BD027E"/>
    <w:rsid w:val="00BE1583"/>
    <w:rsid w:val="00BF11E8"/>
    <w:rsid w:val="00BF1493"/>
    <w:rsid w:val="00C0042B"/>
    <w:rsid w:val="00C046E2"/>
    <w:rsid w:val="00C23C3B"/>
    <w:rsid w:val="00C27354"/>
    <w:rsid w:val="00C4634C"/>
    <w:rsid w:val="00C515CE"/>
    <w:rsid w:val="00C520A4"/>
    <w:rsid w:val="00C52950"/>
    <w:rsid w:val="00C53C38"/>
    <w:rsid w:val="00C54F84"/>
    <w:rsid w:val="00C56DBF"/>
    <w:rsid w:val="00C667B4"/>
    <w:rsid w:val="00C74038"/>
    <w:rsid w:val="00C75958"/>
    <w:rsid w:val="00C975F1"/>
    <w:rsid w:val="00CA2540"/>
    <w:rsid w:val="00CA341F"/>
    <w:rsid w:val="00CA3C3F"/>
    <w:rsid w:val="00CA77AF"/>
    <w:rsid w:val="00CC1C58"/>
    <w:rsid w:val="00CD21EC"/>
    <w:rsid w:val="00CE1838"/>
    <w:rsid w:val="00CF4340"/>
    <w:rsid w:val="00CF7FAC"/>
    <w:rsid w:val="00D02C87"/>
    <w:rsid w:val="00D06AEC"/>
    <w:rsid w:val="00D06B7C"/>
    <w:rsid w:val="00D20AC3"/>
    <w:rsid w:val="00D257E2"/>
    <w:rsid w:val="00D4593F"/>
    <w:rsid w:val="00D547D4"/>
    <w:rsid w:val="00D5482F"/>
    <w:rsid w:val="00D56DC2"/>
    <w:rsid w:val="00D60A18"/>
    <w:rsid w:val="00D775C0"/>
    <w:rsid w:val="00D840D7"/>
    <w:rsid w:val="00D90113"/>
    <w:rsid w:val="00D91F06"/>
    <w:rsid w:val="00D954AF"/>
    <w:rsid w:val="00D9665D"/>
    <w:rsid w:val="00DA07D5"/>
    <w:rsid w:val="00DA1EB9"/>
    <w:rsid w:val="00DB01E8"/>
    <w:rsid w:val="00DB7226"/>
    <w:rsid w:val="00DC471D"/>
    <w:rsid w:val="00DC7E59"/>
    <w:rsid w:val="00DE55AE"/>
    <w:rsid w:val="00DE7AD2"/>
    <w:rsid w:val="00E002D0"/>
    <w:rsid w:val="00E02B3B"/>
    <w:rsid w:val="00E0658D"/>
    <w:rsid w:val="00E24EF5"/>
    <w:rsid w:val="00E34704"/>
    <w:rsid w:val="00E366D2"/>
    <w:rsid w:val="00E419F6"/>
    <w:rsid w:val="00E42EC2"/>
    <w:rsid w:val="00E70674"/>
    <w:rsid w:val="00E86E9C"/>
    <w:rsid w:val="00E90249"/>
    <w:rsid w:val="00E93C15"/>
    <w:rsid w:val="00E94332"/>
    <w:rsid w:val="00EA65F2"/>
    <w:rsid w:val="00EB1BF6"/>
    <w:rsid w:val="00ED57DB"/>
    <w:rsid w:val="00EE3956"/>
    <w:rsid w:val="00EE67D3"/>
    <w:rsid w:val="00EF1FB7"/>
    <w:rsid w:val="00F007A1"/>
    <w:rsid w:val="00F11C59"/>
    <w:rsid w:val="00F12AD8"/>
    <w:rsid w:val="00F12C17"/>
    <w:rsid w:val="00F222F9"/>
    <w:rsid w:val="00F232B2"/>
    <w:rsid w:val="00F25B6D"/>
    <w:rsid w:val="00F320FF"/>
    <w:rsid w:val="00F429F5"/>
    <w:rsid w:val="00F4676D"/>
    <w:rsid w:val="00F534CE"/>
    <w:rsid w:val="00F609EB"/>
    <w:rsid w:val="00F61D14"/>
    <w:rsid w:val="00F70919"/>
    <w:rsid w:val="00F71018"/>
    <w:rsid w:val="00F718B0"/>
    <w:rsid w:val="00F81D80"/>
    <w:rsid w:val="00F87E9F"/>
    <w:rsid w:val="00F94E48"/>
    <w:rsid w:val="00F972F0"/>
    <w:rsid w:val="00FA72DA"/>
    <w:rsid w:val="00FB3AF9"/>
    <w:rsid w:val="00FC1787"/>
    <w:rsid w:val="00FD1834"/>
    <w:rsid w:val="00FD1EFD"/>
    <w:rsid w:val="00FD5092"/>
    <w:rsid w:val="00FE6B63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D8BA8CC-0C82-4431-B77D-D7F4276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0D0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6063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Ewa Mroczek</cp:lastModifiedBy>
  <cp:revision>2</cp:revision>
  <cp:lastPrinted>2011-01-22T10:35:00Z</cp:lastPrinted>
  <dcterms:created xsi:type="dcterms:W3CDTF">2017-08-31T07:15:00Z</dcterms:created>
  <dcterms:modified xsi:type="dcterms:W3CDTF">2017-08-31T07:15:00Z</dcterms:modified>
</cp:coreProperties>
</file>