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3DC" w:rsidRDefault="00565B03" w:rsidP="00CB16AC">
      <w:pPr>
        <w:spacing w:line="240" w:lineRule="auto"/>
        <w:jc w:val="both"/>
        <w:rPr>
          <w:rFonts w:cs="Arial"/>
        </w:rPr>
      </w:pPr>
      <w:r w:rsidRPr="00AC17E1">
        <w:rPr>
          <w:rFonts w:cs="Arial"/>
        </w:rPr>
        <w:t>Znak sprawy:</w:t>
      </w:r>
      <w:r w:rsidR="005D64F8">
        <w:rPr>
          <w:rFonts w:cs="Arial"/>
        </w:rPr>
        <w:t xml:space="preserve"> </w:t>
      </w:r>
      <w:r w:rsidR="005D64F8" w:rsidRPr="005D64F8">
        <w:rPr>
          <w:rFonts w:cs="Arial"/>
        </w:rPr>
        <w:t>DZP-271-</w:t>
      </w:r>
      <w:r w:rsidR="008E6173">
        <w:rPr>
          <w:rFonts w:cs="Arial"/>
        </w:rPr>
        <w:t>226</w:t>
      </w:r>
      <w:r w:rsidR="005D64F8" w:rsidRPr="005D64F8">
        <w:rPr>
          <w:rFonts w:cs="Arial"/>
        </w:rPr>
        <w:t>/21</w:t>
      </w:r>
      <w:r w:rsidR="00AC17E1">
        <w:rPr>
          <w:rFonts w:cs="Arial"/>
        </w:rPr>
        <w:tab/>
      </w:r>
      <w:r w:rsidR="00AC17E1">
        <w:rPr>
          <w:rFonts w:cs="Arial"/>
        </w:rPr>
        <w:tab/>
      </w:r>
      <w:r w:rsidR="00AC17E1">
        <w:rPr>
          <w:rFonts w:cs="Arial"/>
        </w:rPr>
        <w:tab/>
      </w:r>
      <w:r w:rsidR="00AC17E1">
        <w:rPr>
          <w:rFonts w:cs="Arial"/>
        </w:rPr>
        <w:tab/>
      </w:r>
      <w:r w:rsidR="00AC17E1">
        <w:rPr>
          <w:rFonts w:cs="Arial"/>
        </w:rPr>
        <w:tab/>
      </w:r>
      <w:r w:rsidR="00AC17E1">
        <w:rPr>
          <w:rFonts w:cs="Arial"/>
        </w:rPr>
        <w:tab/>
      </w:r>
      <w:r w:rsidR="00C503DC" w:rsidRPr="00AC17E1">
        <w:rPr>
          <w:rFonts w:cs="Arial"/>
        </w:rPr>
        <w:t xml:space="preserve">Kraków, dnia </w:t>
      </w:r>
      <w:r w:rsidR="00412AC2">
        <w:rPr>
          <w:rFonts w:cs="Arial"/>
        </w:rPr>
        <w:t>2</w:t>
      </w:r>
      <w:r w:rsidR="000A201A">
        <w:rPr>
          <w:rFonts w:cs="Arial"/>
        </w:rPr>
        <w:t>1</w:t>
      </w:r>
      <w:bookmarkStart w:id="0" w:name="_GoBack"/>
      <w:bookmarkEnd w:id="0"/>
      <w:r w:rsidR="00412AC2">
        <w:rPr>
          <w:rFonts w:cs="Arial"/>
        </w:rPr>
        <w:t xml:space="preserve"> kwietnia 2021</w:t>
      </w:r>
      <w:r w:rsidR="00C503DC" w:rsidRPr="00AC17E1">
        <w:rPr>
          <w:rFonts w:cs="Arial"/>
        </w:rPr>
        <w:t>r.</w:t>
      </w:r>
    </w:p>
    <w:p w:rsidR="008E6173" w:rsidRPr="008E6173" w:rsidRDefault="008E6173" w:rsidP="008E6173">
      <w:pPr>
        <w:rPr>
          <w:rFonts w:cstheme="minorHAnsi"/>
          <w:sz w:val="20"/>
          <w:szCs w:val="20"/>
        </w:rPr>
      </w:pPr>
      <w:r w:rsidRPr="002B3B40">
        <w:rPr>
          <w:rFonts w:cstheme="minorHAnsi"/>
          <w:b/>
          <w:snapToGrid w:val="0"/>
        </w:rPr>
        <w:t>Zamawiający:</w:t>
      </w:r>
      <w:r w:rsidRPr="002B3B40">
        <w:rPr>
          <w:rFonts w:cstheme="minorHAnsi"/>
          <w:b/>
          <w:snapToGrid w:val="0"/>
        </w:rPr>
        <w:br/>
      </w:r>
      <w:r w:rsidRPr="002B3B40">
        <w:rPr>
          <w:rFonts w:cstheme="minorHAnsi"/>
          <w:sz w:val="20"/>
          <w:szCs w:val="20"/>
        </w:rPr>
        <w:t>Samodzielny Publiczny Zakład Opieki Zdrowotnej</w:t>
      </w:r>
      <w:r w:rsidRPr="002B3B40">
        <w:rPr>
          <w:rFonts w:cstheme="minorHAnsi"/>
          <w:sz w:val="20"/>
          <w:szCs w:val="20"/>
        </w:rPr>
        <w:br/>
        <w:t>Uniwersytecka Klinika Stomatologiczna w Krakowie,</w:t>
      </w:r>
      <w:r>
        <w:rPr>
          <w:rFonts w:cstheme="minorHAnsi"/>
          <w:sz w:val="20"/>
          <w:szCs w:val="20"/>
        </w:rPr>
        <w:br/>
      </w:r>
      <w:r w:rsidRPr="002B3B40">
        <w:rPr>
          <w:rFonts w:cstheme="minorHAnsi"/>
          <w:sz w:val="20"/>
          <w:szCs w:val="20"/>
        </w:rPr>
        <w:t>ul. Montelupich 4, 31-155 Kraków</w:t>
      </w:r>
    </w:p>
    <w:p w:rsidR="008E6173" w:rsidRPr="005D4B76" w:rsidRDefault="008E6173" w:rsidP="008E6173">
      <w:pPr>
        <w:spacing w:after="0" w:line="240" w:lineRule="auto"/>
        <w:rPr>
          <w:rFonts w:asciiTheme="majorHAnsi" w:eastAsia="Times New Roman" w:hAnsiTheme="majorHAnsi" w:cs="Arial"/>
          <w:b/>
          <w:lang w:eastAsia="pl-PL"/>
        </w:rPr>
      </w:pPr>
      <w:r w:rsidRPr="0020799D">
        <w:rPr>
          <w:rFonts w:asciiTheme="majorHAnsi" w:eastAsia="Times New Roman" w:hAnsiTheme="majorHAnsi" w:cs="Times New Roman"/>
          <w:lang w:eastAsia="pl-PL"/>
        </w:rPr>
        <w:t xml:space="preserve">      </w:t>
      </w:r>
      <w:r w:rsidRPr="0020799D">
        <w:rPr>
          <w:rFonts w:asciiTheme="majorHAnsi" w:eastAsia="Calibri" w:hAnsiTheme="majorHAnsi" w:cs="Arial"/>
          <w:b/>
        </w:rPr>
        <w:t xml:space="preserve">   </w:t>
      </w:r>
    </w:p>
    <w:p w:rsidR="008E6173" w:rsidRPr="008E6173" w:rsidRDefault="008E6173" w:rsidP="008E6173">
      <w:pPr>
        <w:autoSpaceDE w:val="0"/>
        <w:autoSpaceDN w:val="0"/>
        <w:spacing w:after="0" w:line="240" w:lineRule="auto"/>
        <w:jc w:val="center"/>
        <w:rPr>
          <w:rFonts w:asciiTheme="majorHAnsi" w:hAnsiTheme="majorHAnsi" w:cs="Times New Roman"/>
          <w:b/>
          <w:bCs/>
          <w:sz w:val="28"/>
          <w:szCs w:val="28"/>
          <w:lang w:eastAsia="pl-PL"/>
        </w:rPr>
      </w:pPr>
      <w:bookmarkStart w:id="1" w:name="_Hlk62481551"/>
      <w:r w:rsidRPr="008E6173">
        <w:rPr>
          <w:rFonts w:asciiTheme="majorHAnsi" w:hAnsiTheme="majorHAnsi" w:cs="Times New Roman"/>
          <w:b/>
          <w:bCs/>
          <w:sz w:val="28"/>
          <w:szCs w:val="28"/>
          <w:lang w:eastAsia="pl-PL"/>
        </w:rPr>
        <w:t xml:space="preserve">Odpowiedzi na zapytania </w:t>
      </w:r>
      <w:r w:rsidR="00135DC0">
        <w:rPr>
          <w:rFonts w:asciiTheme="majorHAnsi" w:hAnsiTheme="majorHAnsi" w:cs="Times New Roman"/>
          <w:b/>
          <w:bCs/>
          <w:sz w:val="28"/>
          <w:szCs w:val="28"/>
          <w:lang w:eastAsia="pl-PL"/>
        </w:rPr>
        <w:t>W</w:t>
      </w:r>
      <w:r w:rsidR="00135DC0" w:rsidRPr="008E6173">
        <w:rPr>
          <w:rFonts w:asciiTheme="majorHAnsi" w:hAnsiTheme="majorHAnsi" w:cs="Times New Roman"/>
          <w:b/>
          <w:bCs/>
          <w:sz w:val="28"/>
          <w:szCs w:val="28"/>
          <w:lang w:eastAsia="pl-PL"/>
        </w:rPr>
        <w:t>ykonaw</w:t>
      </w:r>
      <w:r w:rsidR="00135DC0">
        <w:rPr>
          <w:rFonts w:asciiTheme="majorHAnsi" w:hAnsiTheme="majorHAnsi" w:cs="Times New Roman"/>
          <w:b/>
          <w:bCs/>
          <w:sz w:val="28"/>
          <w:szCs w:val="28"/>
          <w:lang w:eastAsia="pl-PL"/>
        </w:rPr>
        <w:t>cy</w:t>
      </w:r>
      <w:r w:rsidRPr="008E6173">
        <w:rPr>
          <w:rFonts w:asciiTheme="majorHAnsi" w:hAnsiTheme="majorHAnsi" w:cs="Times New Roman"/>
          <w:b/>
          <w:bCs/>
          <w:sz w:val="28"/>
          <w:szCs w:val="28"/>
          <w:lang w:eastAsia="pl-PL"/>
        </w:rPr>
        <w:t xml:space="preserve"> dotyczące treści SWZ</w:t>
      </w:r>
    </w:p>
    <w:bookmarkEnd w:id="1"/>
    <w:p w:rsidR="008E6173" w:rsidRPr="0020799D" w:rsidRDefault="008E6173" w:rsidP="008E6173">
      <w:pPr>
        <w:spacing w:after="0" w:line="240" w:lineRule="auto"/>
        <w:jc w:val="both"/>
        <w:rPr>
          <w:rFonts w:asciiTheme="majorHAnsi" w:eastAsia="Times New Roman" w:hAnsiTheme="majorHAnsi" w:cs="Arial"/>
          <w:b/>
          <w:sz w:val="24"/>
          <w:szCs w:val="24"/>
          <w:lang w:eastAsia="pl-PL"/>
        </w:rPr>
      </w:pPr>
    </w:p>
    <w:p w:rsidR="00B524D8" w:rsidRPr="00D8709C" w:rsidRDefault="00B524D8" w:rsidP="00D8709C">
      <w:pPr>
        <w:spacing w:before="120"/>
        <w:rPr>
          <w:rFonts w:cstheme="minorHAnsi"/>
          <w:b/>
          <w:color w:val="70AD47" w:themeColor="accent6"/>
          <w:sz w:val="20"/>
          <w:szCs w:val="20"/>
        </w:rPr>
      </w:pPr>
      <w:r w:rsidRPr="00D8709C">
        <w:rPr>
          <w:rFonts w:cstheme="minorHAnsi"/>
          <w:b/>
          <w:sz w:val="20"/>
          <w:szCs w:val="20"/>
        </w:rPr>
        <w:t>Dotyczy:</w:t>
      </w:r>
      <w:r w:rsidRPr="00D8709C">
        <w:rPr>
          <w:rFonts w:cstheme="minorHAnsi"/>
          <w:sz w:val="20"/>
          <w:szCs w:val="20"/>
        </w:rPr>
        <w:t xml:space="preserve"> zamówienia publicznego realizowanego w trybie podstawowym bez przeprowadzenia negocjacji zgodnie z art. 275 pkt 1 </w:t>
      </w:r>
      <w:bookmarkStart w:id="2" w:name="_Hlk64614072"/>
      <w:r w:rsidRPr="00D8709C">
        <w:rPr>
          <w:rFonts w:eastAsia="Calibri" w:cstheme="minorHAnsi"/>
          <w:sz w:val="20"/>
          <w:szCs w:val="20"/>
        </w:rPr>
        <w:t xml:space="preserve">ustawy z 11 września 2019 r. – Prawo zamówień publicznych (Dz.U. poz. 2019 ze zm.) </w:t>
      </w:r>
      <w:r w:rsidRPr="00D8709C">
        <w:rPr>
          <w:rFonts w:cstheme="minorHAnsi"/>
          <w:sz w:val="20"/>
          <w:szCs w:val="20"/>
        </w:rPr>
        <w:t>nt</w:t>
      </w:r>
      <w:bookmarkStart w:id="3" w:name="_Hlk66266789"/>
      <w:bookmarkEnd w:id="2"/>
      <w:r w:rsidRPr="00D8709C">
        <w:rPr>
          <w:rFonts w:cstheme="minorHAnsi"/>
          <w:sz w:val="20"/>
          <w:szCs w:val="20"/>
        </w:rPr>
        <w:t xml:space="preserve"> </w:t>
      </w:r>
      <w:bookmarkStart w:id="4" w:name="_Hlk69207422"/>
      <w:r w:rsidRPr="00D8709C">
        <w:rPr>
          <w:rFonts w:cstheme="minorHAnsi"/>
          <w:b/>
          <w:color w:val="000000" w:themeColor="text1"/>
          <w:sz w:val="20"/>
          <w:szCs w:val="20"/>
        </w:rPr>
        <w:t>„Sukcesywna środków czystości”</w:t>
      </w:r>
      <w:bookmarkEnd w:id="3"/>
      <w:r w:rsidRPr="00D8709C">
        <w:rPr>
          <w:rFonts w:cstheme="minorHAnsi"/>
          <w:b/>
          <w:color w:val="000000" w:themeColor="text1"/>
          <w:sz w:val="20"/>
          <w:szCs w:val="20"/>
        </w:rPr>
        <w:t xml:space="preserve"> </w:t>
      </w:r>
      <w:bookmarkEnd w:id="4"/>
      <w:r w:rsidR="00D8709C" w:rsidRPr="00D8709C">
        <w:rPr>
          <w:rFonts w:cstheme="minorHAnsi"/>
          <w:b/>
          <w:color w:val="70AD47" w:themeColor="accent6"/>
          <w:sz w:val="20"/>
          <w:szCs w:val="20"/>
        </w:rPr>
        <w:t xml:space="preserve"> </w:t>
      </w:r>
      <w:r w:rsidRPr="00D8709C">
        <w:rPr>
          <w:rFonts w:cstheme="minorHAnsi"/>
          <w:b/>
          <w:color w:val="FF0000"/>
          <w:sz w:val="20"/>
          <w:szCs w:val="20"/>
        </w:rPr>
        <w:t>Identyfikator postępowania (ID): 38fd3806-79b6-46fd-8185-48a2d85e4520</w:t>
      </w:r>
    </w:p>
    <w:p w:rsidR="00B524D8" w:rsidRPr="00B524D8" w:rsidRDefault="00B524D8" w:rsidP="008E6173">
      <w:pPr>
        <w:widowControl w:val="0"/>
        <w:spacing w:after="0" w:line="240" w:lineRule="auto"/>
        <w:jc w:val="both"/>
        <w:rPr>
          <w:rFonts w:eastAsia="Times New Roman" w:cstheme="minorHAnsi"/>
          <w:b/>
          <w:color w:val="002060"/>
          <w:sz w:val="24"/>
          <w:szCs w:val="24"/>
          <w:lang w:eastAsia="pl-PL"/>
        </w:rPr>
      </w:pPr>
    </w:p>
    <w:p w:rsidR="008E6173" w:rsidRPr="00B524D8" w:rsidRDefault="008E6173" w:rsidP="008E6173">
      <w:pPr>
        <w:widowControl w:val="0"/>
        <w:spacing w:after="0" w:line="120" w:lineRule="atLeast"/>
        <w:jc w:val="both"/>
        <w:rPr>
          <w:rFonts w:eastAsia="Calibri" w:cstheme="minorHAnsi"/>
        </w:rPr>
      </w:pPr>
      <w:r w:rsidRPr="00B524D8">
        <w:rPr>
          <w:rFonts w:eastAsia="Calibri" w:cstheme="minorHAnsi"/>
        </w:rPr>
        <w:t xml:space="preserve">Zamawiający informuje, że w terminie określonym zgodnie z art. 284 ust. 2 ustawy z 11 września 2019 r. – Prawo zamówień publicznych (Dz.U. poz. 2019 ze zm.) – dalej: ustawa </w:t>
      </w:r>
      <w:proofErr w:type="spellStart"/>
      <w:r w:rsidRPr="00B524D8">
        <w:rPr>
          <w:rFonts w:eastAsia="Calibri" w:cstheme="minorHAnsi"/>
        </w:rPr>
        <w:t>Pzp</w:t>
      </w:r>
      <w:proofErr w:type="spellEnd"/>
      <w:r w:rsidRPr="00B524D8">
        <w:rPr>
          <w:rFonts w:eastAsia="Calibri" w:cstheme="minorHAnsi"/>
        </w:rPr>
        <w:t xml:space="preserve">, </w:t>
      </w:r>
      <w:r w:rsidR="00D8709C">
        <w:rPr>
          <w:rFonts w:eastAsia="Calibri" w:cstheme="minorHAnsi"/>
        </w:rPr>
        <w:t>W</w:t>
      </w:r>
      <w:r w:rsidRPr="00B524D8">
        <w:rPr>
          <w:rFonts w:eastAsia="Calibri" w:cstheme="minorHAnsi"/>
        </w:rPr>
        <w:t>ykonawc</w:t>
      </w:r>
      <w:r w:rsidR="00D8709C">
        <w:rPr>
          <w:rFonts w:eastAsia="Calibri" w:cstheme="minorHAnsi"/>
        </w:rPr>
        <w:t>a</w:t>
      </w:r>
      <w:r w:rsidRPr="00B524D8">
        <w:rPr>
          <w:rFonts w:eastAsia="Calibri" w:cstheme="minorHAnsi"/>
        </w:rPr>
        <w:t xml:space="preserve"> zwróci</w:t>
      </w:r>
      <w:r w:rsidR="00D8709C">
        <w:rPr>
          <w:rFonts w:eastAsia="Calibri" w:cstheme="minorHAnsi"/>
        </w:rPr>
        <w:t>ł</w:t>
      </w:r>
      <w:r w:rsidRPr="00B524D8">
        <w:rPr>
          <w:rFonts w:eastAsia="Calibri" w:cstheme="minorHAnsi"/>
        </w:rPr>
        <w:t xml:space="preserve"> się do </w:t>
      </w:r>
      <w:r w:rsidR="00D8709C">
        <w:rPr>
          <w:rFonts w:eastAsia="Calibri" w:cstheme="minorHAnsi"/>
        </w:rPr>
        <w:t>Z</w:t>
      </w:r>
      <w:r w:rsidRPr="00B524D8">
        <w:rPr>
          <w:rFonts w:eastAsia="Calibri" w:cstheme="minorHAnsi"/>
        </w:rPr>
        <w:t>amawiającego z wnioskiem o wyjaśnienie treści SWZ.</w:t>
      </w:r>
    </w:p>
    <w:p w:rsidR="008E6173" w:rsidRPr="00B524D8" w:rsidRDefault="008E6173" w:rsidP="008E6173">
      <w:pPr>
        <w:widowControl w:val="0"/>
        <w:spacing w:after="0" w:line="120" w:lineRule="atLeast"/>
        <w:jc w:val="both"/>
        <w:rPr>
          <w:rFonts w:eastAsia="Calibri" w:cstheme="minorHAnsi"/>
        </w:rPr>
      </w:pPr>
    </w:p>
    <w:p w:rsidR="008E6173" w:rsidRPr="00B524D8" w:rsidRDefault="008E6173" w:rsidP="008E6173">
      <w:pPr>
        <w:widowControl w:val="0"/>
        <w:spacing w:after="0" w:line="120" w:lineRule="atLeast"/>
        <w:jc w:val="both"/>
        <w:rPr>
          <w:rFonts w:eastAsia="Calibri" w:cstheme="minorHAnsi"/>
        </w:rPr>
      </w:pPr>
      <w:r w:rsidRPr="00B524D8">
        <w:rPr>
          <w:rFonts w:eastAsia="Calibri" w:cstheme="minorHAnsi"/>
        </w:rPr>
        <w:t xml:space="preserve">W związku z powyższym, </w:t>
      </w:r>
      <w:r w:rsidR="00B524D8">
        <w:rPr>
          <w:rFonts w:eastAsia="Calibri" w:cstheme="minorHAnsi"/>
        </w:rPr>
        <w:t>Z</w:t>
      </w:r>
      <w:r w:rsidRPr="00B524D8">
        <w:rPr>
          <w:rFonts w:eastAsia="Calibri" w:cstheme="minorHAnsi"/>
        </w:rPr>
        <w:t>amawiający udziela następujących wyjaśnień:</w:t>
      </w:r>
    </w:p>
    <w:p w:rsidR="008E6173" w:rsidRPr="00B524D8" w:rsidRDefault="008E6173" w:rsidP="008E6173">
      <w:pPr>
        <w:widowControl w:val="0"/>
        <w:spacing w:after="0" w:line="120" w:lineRule="atLeast"/>
        <w:jc w:val="both"/>
        <w:rPr>
          <w:rFonts w:eastAsia="Calibri" w:cstheme="minorHAnsi"/>
        </w:rPr>
      </w:pPr>
    </w:p>
    <w:p w:rsidR="00D8709C" w:rsidRPr="00A77947" w:rsidRDefault="008E6173" w:rsidP="00A77947">
      <w:pPr>
        <w:pStyle w:val="Bezodstpw"/>
        <w:rPr>
          <w:b/>
        </w:rPr>
      </w:pPr>
      <w:bookmarkStart w:id="5" w:name="_Hlk69816313"/>
      <w:r w:rsidRPr="00A77947">
        <w:rPr>
          <w:b/>
        </w:rPr>
        <w:t>Pytanie 1:</w:t>
      </w:r>
      <w:r w:rsidR="00B524D8" w:rsidRPr="00A77947">
        <w:rPr>
          <w:b/>
        </w:rPr>
        <w:t xml:space="preserve"> </w:t>
      </w:r>
    </w:p>
    <w:bookmarkEnd w:id="5"/>
    <w:p w:rsidR="00412AC2" w:rsidRDefault="00412AC2" w:rsidP="00A77947">
      <w:pPr>
        <w:pStyle w:val="Bezodstpw"/>
        <w:jc w:val="both"/>
        <w:rPr>
          <w:lang w:eastAsia="pl-PL"/>
        </w:rPr>
      </w:pPr>
      <w:r>
        <w:rPr>
          <w:lang w:eastAsia="pl-PL"/>
        </w:rPr>
        <w:t>„</w:t>
      </w:r>
      <w:r w:rsidRPr="00412AC2">
        <w:rPr>
          <w:lang w:eastAsia="pl-PL"/>
        </w:rPr>
        <w:t xml:space="preserve">Czy Zamawiający w Części nr 1 w pozycji nr 2  dopuści dozownik do papieru w roli, wykonany z wysokiej jakości tworzywa ABS w kolorze białym. Posiadający wizjer umożliwiający kontrolę ilości papieru. Zamykany na plastikowy kluczyk, </w:t>
      </w:r>
      <w:bookmarkStart w:id="6" w:name="_Hlk69816182"/>
      <w:r w:rsidRPr="00412AC2">
        <w:rPr>
          <w:lang w:eastAsia="pl-PL"/>
        </w:rPr>
        <w:t>montowany do ściany</w:t>
      </w:r>
      <w:bookmarkEnd w:id="6"/>
      <w:r w:rsidRPr="00412AC2">
        <w:rPr>
          <w:lang w:eastAsia="pl-PL"/>
        </w:rPr>
        <w:t>. Przeznaczony dla rolek o maksymalnej średnicy 23 cm. Wymiary: wysokość 26 cm, szerokość 13 cm, średnica 24 cm, waga 675 g?</w:t>
      </w:r>
      <w:r>
        <w:rPr>
          <w:lang w:eastAsia="pl-PL"/>
        </w:rPr>
        <w:t>”</w:t>
      </w:r>
    </w:p>
    <w:p w:rsidR="00FD529C" w:rsidRDefault="00FD529C" w:rsidP="00A77947">
      <w:pPr>
        <w:pStyle w:val="Bezodstpw"/>
        <w:rPr>
          <w:color w:val="FF0000"/>
        </w:rPr>
      </w:pPr>
      <w:bookmarkStart w:id="7" w:name="_Hlk69816348"/>
      <w:bookmarkStart w:id="8" w:name="_Hlk69819219"/>
    </w:p>
    <w:p w:rsidR="00A77947" w:rsidRDefault="00412AC2" w:rsidP="00A77947">
      <w:pPr>
        <w:pStyle w:val="Bezodstpw"/>
        <w:rPr>
          <w:color w:val="FF0000"/>
        </w:rPr>
      </w:pPr>
      <w:r w:rsidRPr="00D8709C">
        <w:rPr>
          <w:color w:val="FF0000"/>
        </w:rPr>
        <w:t>Odpowiedź:</w:t>
      </w:r>
      <w:r>
        <w:rPr>
          <w:color w:val="FF0000"/>
        </w:rPr>
        <w:t xml:space="preserve"> </w:t>
      </w:r>
      <w:r w:rsidR="00A77947" w:rsidRPr="00A77947">
        <w:rPr>
          <w:color w:val="FF0000"/>
        </w:rPr>
        <w:t>Zamawiający wymaga zgodnie z zapisami SWZ.</w:t>
      </w:r>
    </w:p>
    <w:bookmarkEnd w:id="7"/>
    <w:bookmarkEnd w:id="8"/>
    <w:p w:rsidR="00A77947" w:rsidRDefault="00A77947" w:rsidP="00A77947">
      <w:pPr>
        <w:pStyle w:val="Bezodstpw"/>
      </w:pPr>
    </w:p>
    <w:p w:rsidR="00A77947" w:rsidRPr="00A77947" w:rsidRDefault="00A77947" w:rsidP="00A77947">
      <w:pPr>
        <w:pStyle w:val="Bezodstpw"/>
        <w:rPr>
          <w:b/>
        </w:rPr>
      </w:pPr>
      <w:bookmarkStart w:id="9" w:name="_Hlk69818178"/>
      <w:r w:rsidRPr="00A77947">
        <w:rPr>
          <w:b/>
        </w:rPr>
        <w:t xml:space="preserve">Pytanie 2: </w:t>
      </w:r>
    </w:p>
    <w:bookmarkEnd w:id="9"/>
    <w:p w:rsidR="00412AC2" w:rsidRDefault="00A77947" w:rsidP="00A77947">
      <w:pPr>
        <w:pStyle w:val="Bezodstpw"/>
        <w:jc w:val="both"/>
        <w:rPr>
          <w:rFonts w:eastAsia="Times New Roman"/>
          <w:lang w:eastAsia="pl-PL"/>
        </w:rPr>
      </w:pPr>
      <w:r>
        <w:rPr>
          <w:rFonts w:eastAsia="Times New Roman"/>
          <w:lang w:eastAsia="pl-PL"/>
        </w:rPr>
        <w:t>„</w:t>
      </w:r>
      <w:r w:rsidR="00412AC2" w:rsidRPr="00412AC2">
        <w:rPr>
          <w:rFonts w:eastAsia="Times New Roman"/>
          <w:lang w:eastAsia="pl-PL"/>
        </w:rPr>
        <w:t xml:space="preserve">Czy Zamawiający w Części nr 1 w pozycji nr 23 dopuści </w:t>
      </w:r>
      <w:bookmarkStart w:id="10" w:name="_Hlk69816572"/>
      <w:r w:rsidR="00412AC2" w:rsidRPr="00412AC2">
        <w:rPr>
          <w:rFonts w:eastAsia="Times New Roman"/>
          <w:lang w:eastAsia="pl-PL"/>
        </w:rPr>
        <w:t xml:space="preserve">odświeżacz powietrza ze spryskiwaczem, w 5 kompozycjach zapachowych (Cytrusowy, Czarne winogrona, Morski, Zielona herbata, </w:t>
      </w:r>
      <w:proofErr w:type="spellStart"/>
      <w:r w:rsidR="00412AC2" w:rsidRPr="00412AC2">
        <w:rPr>
          <w:rFonts w:eastAsia="Times New Roman"/>
          <w:lang w:eastAsia="pl-PL"/>
        </w:rPr>
        <w:t>Pomelo</w:t>
      </w:r>
      <w:proofErr w:type="spellEnd"/>
      <w:r w:rsidR="00412AC2" w:rsidRPr="00412AC2">
        <w:rPr>
          <w:rFonts w:eastAsia="Times New Roman"/>
          <w:lang w:eastAsia="pl-PL"/>
        </w:rPr>
        <w:t>). Pozostawiający w pomieszczeniach świeży zapach – jednocześnie neutralizujący i usuwający nieprzyjemne zapachy.</w:t>
      </w:r>
      <w:bookmarkEnd w:id="10"/>
      <w:r w:rsidR="00412AC2" w:rsidRPr="00412AC2">
        <w:rPr>
          <w:rFonts w:eastAsia="Times New Roman"/>
          <w:lang w:eastAsia="pl-PL"/>
        </w:rPr>
        <w:t xml:space="preserve"> Konfekcjonowany w opakowanie 500ml z odpowiednim przeliczeniem ilości opakowań?</w:t>
      </w:r>
      <w:r>
        <w:rPr>
          <w:rFonts w:eastAsia="Times New Roman"/>
          <w:lang w:eastAsia="pl-PL"/>
        </w:rPr>
        <w:t>”</w:t>
      </w:r>
    </w:p>
    <w:p w:rsidR="00FD529C" w:rsidRDefault="00FD529C" w:rsidP="00CC2358">
      <w:pPr>
        <w:pStyle w:val="Bezodstpw"/>
        <w:jc w:val="both"/>
        <w:rPr>
          <w:color w:val="FF0000"/>
        </w:rPr>
      </w:pPr>
      <w:bookmarkStart w:id="11" w:name="_Hlk69818477"/>
    </w:p>
    <w:p w:rsidR="00412AC2" w:rsidRDefault="00A77947" w:rsidP="00CC2358">
      <w:pPr>
        <w:pStyle w:val="Bezodstpw"/>
        <w:jc w:val="both"/>
        <w:rPr>
          <w:color w:val="FF0000"/>
        </w:rPr>
      </w:pPr>
      <w:r w:rsidRPr="00D8709C">
        <w:rPr>
          <w:color w:val="FF0000"/>
        </w:rPr>
        <w:t>Odpowiedź:</w:t>
      </w:r>
      <w:r>
        <w:rPr>
          <w:color w:val="FF0000"/>
        </w:rPr>
        <w:t xml:space="preserve"> Zamawiający dopuszcza </w:t>
      </w:r>
      <w:r w:rsidR="002A4079" w:rsidRPr="002A4079">
        <w:rPr>
          <w:color w:val="FF0000"/>
        </w:rPr>
        <w:t xml:space="preserve">odświeżacz powietrza ze spryskiwaczem, w 5 kompozycjach zapachowych (Cytrusowy, Czarne winogrona, Morski, Zielona herbata, </w:t>
      </w:r>
      <w:proofErr w:type="spellStart"/>
      <w:r w:rsidR="002A4079" w:rsidRPr="002A4079">
        <w:rPr>
          <w:color w:val="FF0000"/>
        </w:rPr>
        <w:t>Pomelo</w:t>
      </w:r>
      <w:proofErr w:type="spellEnd"/>
      <w:r w:rsidR="002A4079" w:rsidRPr="002A4079">
        <w:rPr>
          <w:color w:val="FF0000"/>
        </w:rPr>
        <w:t>)</w:t>
      </w:r>
      <w:r w:rsidR="002A4079">
        <w:rPr>
          <w:color w:val="FF0000"/>
        </w:rPr>
        <w:t>, p</w:t>
      </w:r>
      <w:r w:rsidR="002A4079" w:rsidRPr="002A4079">
        <w:rPr>
          <w:color w:val="FF0000"/>
        </w:rPr>
        <w:t>ozostawiający w pomieszczeniach świeży zapach – jednocześnie neutralizujący i usuwający nieprzyjemne zapachy</w:t>
      </w:r>
      <w:r w:rsidR="002A4079">
        <w:rPr>
          <w:color w:val="FF0000"/>
        </w:rPr>
        <w:t>.</w:t>
      </w:r>
      <w:r>
        <w:rPr>
          <w:color w:val="FF0000"/>
        </w:rPr>
        <w:t xml:space="preserve"> </w:t>
      </w:r>
      <w:r w:rsidR="00F30715" w:rsidRPr="00F30715">
        <w:rPr>
          <w:color w:val="FF0000"/>
        </w:rPr>
        <w:t xml:space="preserve">Zamawiający dopuści inne ilości sztuk w opakowaniu przedmiotu zamówienia, niż wskazane w załączniku nr 4 do </w:t>
      </w:r>
      <w:r w:rsidR="00CC2358">
        <w:rPr>
          <w:color w:val="FF0000"/>
        </w:rPr>
        <w:t>SWZ</w:t>
      </w:r>
      <w:r w:rsidR="00F30715" w:rsidRPr="00F30715">
        <w:rPr>
          <w:color w:val="FF0000"/>
        </w:rPr>
        <w:t xml:space="preserve">, ale tylko po ich odpowiednim przeliczeniu w stosunku do zapotrzebowania Zamawiającego. Wykonawca jest zobowiązany samodzielnie dokonać właściwego przeliczenia i zaznaczyć to w załączniku nr 1a, 1b do </w:t>
      </w:r>
      <w:proofErr w:type="spellStart"/>
      <w:r w:rsidR="00F30715" w:rsidRPr="00F30715">
        <w:rPr>
          <w:color w:val="FF0000"/>
        </w:rPr>
        <w:t>swz</w:t>
      </w:r>
      <w:proofErr w:type="spellEnd"/>
      <w:r w:rsidR="00F30715" w:rsidRPr="00F30715">
        <w:rPr>
          <w:color w:val="FF0000"/>
        </w:rPr>
        <w:t>, który składa w swojej ofercie.</w:t>
      </w:r>
      <w:r w:rsidR="00F30715">
        <w:rPr>
          <w:color w:val="FF0000"/>
        </w:rPr>
        <w:t xml:space="preserve"> </w:t>
      </w:r>
      <w:r w:rsidR="002A4079">
        <w:rPr>
          <w:color w:val="FF0000"/>
        </w:rPr>
        <w:t xml:space="preserve">Ponieważ Wykonawca nie wskazał sposobu przeliczenia oferty, </w:t>
      </w:r>
      <w:r w:rsidR="00F30715">
        <w:rPr>
          <w:color w:val="FF0000"/>
        </w:rPr>
        <w:t xml:space="preserve">Zamawiający </w:t>
      </w:r>
      <w:r w:rsidR="002A4079">
        <w:rPr>
          <w:color w:val="FF0000"/>
        </w:rPr>
        <w:t xml:space="preserve">wymaga aby wycena Wykonawcy obejmowała </w:t>
      </w:r>
      <w:r w:rsidR="002A4079" w:rsidRPr="00FF6280">
        <w:rPr>
          <w:b/>
          <w:color w:val="FF0000"/>
          <w:u w:val="single"/>
        </w:rPr>
        <w:t>tylko pełne opakowania o zaproponowanej odpowiednio pojemności.</w:t>
      </w:r>
      <w:r w:rsidR="002A4079">
        <w:rPr>
          <w:color w:val="FF0000"/>
        </w:rPr>
        <w:t xml:space="preserve"> Nie dopuszcza dzielenia opakowań bądź też zaokrąglania ich pojemności</w:t>
      </w:r>
      <w:r w:rsidR="00FF6280">
        <w:rPr>
          <w:color w:val="FF0000"/>
        </w:rPr>
        <w:t xml:space="preserve"> -/+</w:t>
      </w:r>
      <w:r w:rsidR="002A4079">
        <w:rPr>
          <w:color w:val="FF0000"/>
        </w:rPr>
        <w:t xml:space="preserve"> do pełnych objętości. </w:t>
      </w:r>
      <w:r w:rsidR="00CC2358">
        <w:rPr>
          <w:color w:val="FF0000"/>
        </w:rPr>
        <w:t xml:space="preserve">Zgodnie z SWZ </w:t>
      </w:r>
      <w:r w:rsidR="002A4079">
        <w:rPr>
          <w:color w:val="FF0000"/>
        </w:rPr>
        <w:t>Zamawiający wymaga: 130 op</w:t>
      </w:r>
      <w:r w:rsidR="00FF6280">
        <w:rPr>
          <w:color w:val="FF0000"/>
        </w:rPr>
        <w:t>.</w:t>
      </w:r>
      <w:r w:rsidR="002A4079">
        <w:rPr>
          <w:color w:val="FF0000"/>
        </w:rPr>
        <w:t xml:space="preserve"> po 300 ml co daje </w:t>
      </w:r>
      <w:r w:rsidR="00FF6280">
        <w:rPr>
          <w:color w:val="FF0000"/>
        </w:rPr>
        <w:t>łącznie 39000,00 ml odświeżacza</w:t>
      </w:r>
      <w:r w:rsidR="00CC2358">
        <w:rPr>
          <w:color w:val="FF0000"/>
        </w:rPr>
        <w:t>, z</w:t>
      </w:r>
      <w:r w:rsidR="00FF6280">
        <w:rPr>
          <w:color w:val="FF0000"/>
        </w:rPr>
        <w:t xml:space="preserve">atem Wykonawca winien dokonać </w:t>
      </w:r>
      <w:r w:rsidR="00FF6280" w:rsidRPr="00FF6280">
        <w:rPr>
          <w:b/>
          <w:color w:val="FF0000"/>
        </w:rPr>
        <w:t>wyceny 78 op</w:t>
      </w:r>
      <w:r w:rsidR="00FF6280">
        <w:rPr>
          <w:color w:val="FF0000"/>
        </w:rPr>
        <w:t>. odświeżacza (tj. 39000,00 ml/500 ml=78op.)</w:t>
      </w:r>
    </w:p>
    <w:bookmarkEnd w:id="11"/>
    <w:p w:rsidR="00FF6280" w:rsidRDefault="00FF6280" w:rsidP="00FF6280">
      <w:pPr>
        <w:pStyle w:val="Bezodstpw"/>
        <w:rPr>
          <w:b/>
        </w:rPr>
      </w:pPr>
    </w:p>
    <w:p w:rsidR="00FF6280" w:rsidRPr="00A77947" w:rsidRDefault="00FF6280" w:rsidP="00FF6280">
      <w:pPr>
        <w:pStyle w:val="Bezodstpw"/>
        <w:rPr>
          <w:b/>
        </w:rPr>
      </w:pPr>
      <w:bookmarkStart w:id="12" w:name="_Hlk69819172"/>
      <w:r w:rsidRPr="00A77947">
        <w:rPr>
          <w:b/>
        </w:rPr>
        <w:t xml:space="preserve">Pytanie </w:t>
      </w:r>
      <w:r>
        <w:rPr>
          <w:b/>
        </w:rPr>
        <w:t>3</w:t>
      </w:r>
      <w:r w:rsidRPr="00A77947">
        <w:rPr>
          <w:b/>
        </w:rPr>
        <w:t xml:space="preserve">: </w:t>
      </w:r>
    </w:p>
    <w:bookmarkEnd w:id="12"/>
    <w:p w:rsidR="00412AC2" w:rsidRPr="00FF6280" w:rsidRDefault="00FF6280" w:rsidP="00FF6280">
      <w:pPr>
        <w:spacing w:after="0" w:line="240" w:lineRule="auto"/>
        <w:jc w:val="both"/>
        <w:rPr>
          <w:rFonts w:eastAsia="Times New Roman" w:cstheme="minorHAnsi"/>
          <w:lang w:eastAsia="pl-PL"/>
        </w:rPr>
      </w:pPr>
      <w:r>
        <w:rPr>
          <w:rFonts w:eastAsia="Times New Roman" w:cstheme="minorHAnsi"/>
          <w:lang w:eastAsia="pl-PL"/>
        </w:rPr>
        <w:lastRenderedPageBreak/>
        <w:t>„</w:t>
      </w:r>
      <w:r w:rsidR="00412AC2" w:rsidRPr="00FF6280">
        <w:rPr>
          <w:rFonts w:eastAsia="Times New Roman" w:cstheme="minorHAnsi"/>
          <w:lang w:eastAsia="pl-PL"/>
        </w:rPr>
        <w:t xml:space="preserve">Czy Zamawiający w Części nr 1 w pozycji nr 25 dopuści </w:t>
      </w:r>
      <w:bookmarkStart w:id="13" w:name="_Hlk69818497"/>
      <w:r w:rsidR="00412AC2" w:rsidRPr="00FF6280">
        <w:rPr>
          <w:rFonts w:eastAsia="Times New Roman" w:cstheme="minorHAnsi"/>
          <w:lang w:eastAsia="pl-PL"/>
        </w:rPr>
        <w:t xml:space="preserve">mleczko o przyjemnym kwiatowym zapachu do czyszczenia i pielęgnacji mebli. Z zawartością wosków naturalnych i silikonów. Nadaje połysk, chroni przed zabrudzeniami i osadzaniem kurzu, nie pozostawia smug. Posiada właściwości antystatyczne. </w:t>
      </w:r>
      <w:proofErr w:type="spellStart"/>
      <w:r w:rsidR="00412AC2" w:rsidRPr="00FF6280">
        <w:rPr>
          <w:rFonts w:eastAsia="Times New Roman" w:cstheme="minorHAnsi"/>
          <w:lang w:eastAsia="pl-PL"/>
        </w:rPr>
        <w:t>pH</w:t>
      </w:r>
      <w:proofErr w:type="spellEnd"/>
      <w:r w:rsidR="00412AC2" w:rsidRPr="00FF6280">
        <w:rPr>
          <w:rFonts w:eastAsia="Times New Roman" w:cstheme="minorHAnsi"/>
          <w:lang w:eastAsia="pl-PL"/>
        </w:rPr>
        <w:t xml:space="preserve"> 7,5-8,5, gęstość 0,99-1,01 g/cm3. . Skład: dekametylocyklopentasiloksan&lt;1%, oktamedylocyklotetrasiloksan&lt;1%. </w:t>
      </w:r>
      <w:bookmarkEnd w:id="13"/>
      <w:r w:rsidR="00412AC2" w:rsidRPr="00FF6280">
        <w:rPr>
          <w:rFonts w:eastAsia="Times New Roman" w:cstheme="minorHAnsi"/>
          <w:lang w:eastAsia="pl-PL"/>
        </w:rPr>
        <w:t>Konfekcjonowany w opakowanie 500 ml z odpowiednim przeliczeniem ilości opakowań wymaganych przez zamawiającego?</w:t>
      </w:r>
    </w:p>
    <w:p w:rsidR="00FD529C" w:rsidRDefault="00FD529C" w:rsidP="00FF6280">
      <w:pPr>
        <w:pStyle w:val="Bezodstpw"/>
        <w:jc w:val="both"/>
        <w:rPr>
          <w:color w:val="FF0000"/>
        </w:rPr>
      </w:pPr>
    </w:p>
    <w:p w:rsidR="00FF6280" w:rsidRDefault="00FF6280" w:rsidP="00FF6280">
      <w:pPr>
        <w:pStyle w:val="Bezodstpw"/>
        <w:jc w:val="both"/>
        <w:rPr>
          <w:color w:val="FF0000"/>
        </w:rPr>
      </w:pPr>
      <w:r w:rsidRPr="00D8709C">
        <w:rPr>
          <w:color w:val="FF0000"/>
        </w:rPr>
        <w:t>Odpowiedź:</w:t>
      </w:r>
      <w:r>
        <w:rPr>
          <w:color w:val="FF0000"/>
        </w:rPr>
        <w:t xml:space="preserve"> Zamawiający dopuszcza </w:t>
      </w:r>
      <w:r w:rsidRPr="00FF6280">
        <w:rPr>
          <w:color w:val="FF0000"/>
        </w:rPr>
        <w:t>mleczko o przyjemnym kwiatowym zapachu do czyszczenia i pielęgnacji mebli</w:t>
      </w:r>
      <w:r w:rsidR="00EF445E">
        <w:rPr>
          <w:color w:val="FF0000"/>
        </w:rPr>
        <w:t>, z</w:t>
      </w:r>
      <w:r w:rsidRPr="00FF6280">
        <w:rPr>
          <w:color w:val="FF0000"/>
        </w:rPr>
        <w:t xml:space="preserve"> zawartością wosków naturalnych i silikonów</w:t>
      </w:r>
      <w:r w:rsidR="00EF445E">
        <w:rPr>
          <w:color w:val="FF0000"/>
        </w:rPr>
        <w:t xml:space="preserve">, nadające </w:t>
      </w:r>
      <w:r w:rsidRPr="00FF6280">
        <w:rPr>
          <w:color w:val="FF0000"/>
        </w:rPr>
        <w:t>połysk, chroni</w:t>
      </w:r>
      <w:r w:rsidR="00EF445E">
        <w:rPr>
          <w:color w:val="FF0000"/>
        </w:rPr>
        <w:t>ące</w:t>
      </w:r>
      <w:r w:rsidRPr="00FF6280">
        <w:rPr>
          <w:color w:val="FF0000"/>
        </w:rPr>
        <w:t xml:space="preserve"> przed zabrudzeniami i osadzaniem kurzu, </w:t>
      </w:r>
      <w:r w:rsidR="00EF445E">
        <w:rPr>
          <w:color w:val="FF0000"/>
        </w:rPr>
        <w:t xml:space="preserve">które </w:t>
      </w:r>
      <w:r w:rsidRPr="00FF6280">
        <w:rPr>
          <w:color w:val="FF0000"/>
        </w:rPr>
        <w:t>nie pozostawia smug</w:t>
      </w:r>
      <w:r w:rsidR="00EF445E">
        <w:rPr>
          <w:color w:val="FF0000"/>
        </w:rPr>
        <w:t>, p</w:t>
      </w:r>
      <w:r w:rsidRPr="00FF6280">
        <w:rPr>
          <w:color w:val="FF0000"/>
        </w:rPr>
        <w:t xml:space="preserve">osiada właściwości antystatyczne. </w:t>
      </w:r>
      <w:proofErr w:type="spellStart"/>
      <w:r w:rsidRPr="00FF6280">
        <w:rPr>
          <w:color w:val="FF0000"/>
        </w:rPr>
        <w:t>pH</w:t>
      </w:r>
      <w:proofErr w:type="spellEnd"/>
      <w:r w:rsidRPr="00FF6280">
        <w:rPr>
          <w:color w:val="FF0000"/>
        </w:rPr>
        <w:t xml:space="preserve"> 7,5-8,5, gęstość 0,99-1,01 g/cm3. Skład: dekametylocyklopentasiloksan&lt;1%, oktamedylocyklotetrasiloksan&lt;1%. </w:t>
      </w:r>
      <w:r w:rsidR="00EF445E">
        <w:rPr>
          <w:color w:val="FF0000"/>
        </w:rPr>
        <w:t xml:space="preserve"> przy czym pozostałe wymogi zgodnie z </w:t>
      </w:r>
      <w:proofErr w:type="spellStart"/>
      <w:r w:rsidR="00EF445E">
        <w:rPr>
          <w:color w:val="FF0000"/>
        </w:rPr>
        <w:t>swz</w:t>
      </w:r>
      <w:proofErr w:type="spellEnd"/>
      <w:r w:rsidR="00EF445E">
        <w:rPr>
          <w:color w:val="FF0000"/>
        </w:rPr>
        <w:t xml:space="preserve">. </w:t>
      </w:r>
      <w:bookmarkStart w:id="14" w:name="_Hlk69819778"/>
      <w:r w:rsidRPr="00F30715">
        <w:rPr>
          <w:color w:val="FF0000"/>
        </w:rPr>
        <w:t xml:space="preserve">Zamawiający dopuści inne ilości sztuk w opakowaniu przedmiotu zamówienia, niż wskazane w załączniku nr 4 do </w:t>
      </w:r>
      <w:proofErr w:type="spellStart"/>
      <w:r w:rsidRPr="00F30715">
        <w:rPr>
          <w:color w:val="FF0000"/>
        </w:rPr>
        <w:t>swz</w:t>
      </w:r>
      <w:proofErr w:type="spellEnd"/>
      <w:r w:rsidRPr="00F30715">
        <w:rPr>
          <w:color w:val="FF0000"/>
        </w:rPr>
        <w:t xml:space="preserve">, ale tylko po ich odpowiednim przeliczeniu w stosunku do zapotrzebowania Zamawiającego. Wykonawca jest zobowiązany samodzielnie dokonać właściwego przeliczenia i zaznaczyć to w załączniku nr 1a, 1b do </w:t>
      </w:r>
      <w:proofErr w:type="spellStart"/>
      <w:r w:rsidRPr="00F30715">
        <w:rPr>
          <w:color w:val="FF0000"/>
        </w:rPr>
        <w:t>swz</w:t>
      </w:r>
      <w:proofErr w:type="spellEnd"/>
      <w:r w:rsidRPr="00F30715">
        <w:rPr>
          <w:color w:val="FF0000"/>
        </w:rPr>
        <w:t>, który składa w swojej ofercie.</w:t>
      </w:r>
      <w:r>
        <w:rPr>
          <w:color w:val="FF0000"/>
        </w:rPr>
        <w:t xml:space="preserve"> Ponieważ Wykonawca nie wskazał sposobu przeliczenia oferty, Zamawiający wymaga aby wycena Wykonawcy obejmowała </w:t>
      </w:r>
      <w:r w:rsidRPr="00FF6280">
        <w:rPr>
          <w:b/>
          <w:color w:val="FF0000"/>
          <w:u w:val="single"/>
        </w:rPr>
        <w:t>tylko pełne opakowania o zaproponowanej odpowiednio pojemności.</w:t>
      </w:r>
      <w:r>
        <w:rPr>
          <w:color w:val="FF0000"/>
        </w:rPr>
        <w:t xml:space="preserve"> Nie dopuszcza dzielenia opakowań bądź też zaokrąglania ich pojemności -/+ do pełnych objętości. </w:t>
      </w:r>
      <w:bookmarkStart w:id="15" w:name="_Hlk69820377"/>
      <w:r w:rsidR="00CC2358">
        <w:rPr>
          <w:color w:val="FF0000"/>
        </w:rPr>
        <w:t xml:space="preserve">Zgodnie z SWZ </w:t>
      </w:r>
      <w:r>
        <w:rPr>
          <w:color w:val="FF0000"/>
        </w:rPr>
        <w:t xml:space="preserve">Zamawiający wymaga: </w:t>
      </w:r>
      <w:r w:rsidR="00EF445E">
        <w:rPr>
          <w:color w:val="FF0000"/>
        </w:rPr>
        <w:t>18</w:t>
      </w:r>
      <w:r>
        <w:rPr>
          <w:color w:val="FF0000"/>
        </w:rPr>
        <w:t xml:space="preserve"> op. po </w:t>
      </w:r>
      <w:r w:rsidR="00EF445E">
        <w:rPr>
          <w:color w:val="FF0000"/>
        </w:rPr>
        <w:t>4</w:t>
      </w:r>
      <w:r>
        <w:rPr>
          <w:color w:val="FF0000"/>
        </w:rPr>
        <w:t xml:space="preserve">00 ml co daje łącznie </w:t>
      </w:r>
      <w:r w:rsidR="00EF445E">
        <w:rPr>
          <w:color w:val="FF0000"/>
        </w:rPr>
        <w:t>720</w:t>
      </w:r>
      <w:r>
        <w:rPr>
          <w:color w:val="FF0000"/>
        </w:rPr>
        <w:t xml:space="preserve">0,00 ml </w:t>
      </w:r>
      <w:r w:rsidR="00EF445E">
        <w:rPr>
          <w:color w:val="FF0000"/>
        </w:rPr>
        <w:t>produktu. Wykonawca zaproponował produkt w opakowaniu 500 ml. Dokonując przeliczenia wynika, że  Wykonawca winien wycenić 14,40op. (7200,00 ml:500ml= 14,40 op.) zatem nie ma możliwości dokonania przeliczenia do pełnego opakowania. W związku z powyższym Zamawiający nie wyraża zgody na dokonanie przeliczenia</w:t>
      </w:r>
      <w:bookmarkEnd w:id="14"/>
      <w:r w:rsidR="00EF445E">
        <w:rPr>
          <w:color w:val="FF0000"/>
        </w:rPr>
        <w:t>.</w:t>
      </w:r>
    </w:p>
    <w:bookmarkEnd w:id="15"/>
    <w:p w:rsidR="00CC2358" w:rsidRDefault="00CC2358" w:rsidP="00CC2358">
      <w:pPr>
        <w:pStyle w:val="Bezodstpw"/>
        <w:rPr>
          <w:b/>
        </w:rPr>
      </w:pPr>
    </w:p>
    <w:p w:rsidR="00CC2358" w:rsidRPr="00A77947" w:rsidRDefault="00CC2358" w:rsidP="00CC2358">
      <w:pPr>
        <w:pStyle w:val="Bezodstpw"/>
        <w:rPr>
          <w:b/>
        </w:rPr>
      </w:pPr>
      <w:r w:rsidRPr="00A77947">
        <w:rPr>
          <w:b/>
        </w:rPr>
        <w:t xml:space="preserve">Pytanie </w:t>
      </w:r>
      <w:r>
        <w:rPr>
          <w:b/>
        </w:rPr>
        <w:t>4</w:t>
      </w:r>
      <w:r w:rsidRPr="00A77947">
        <w:rPr>
          <w:b/>
        </w:rPr>
        <w:t xml:space="preserve">: </w:t>
      </w:r>
    </w:p>
    <w:p w:rsidR="00412AC2" w:rsidRPr="00CC2358" w:rsidRDefault="00CC2358" w:rsidP="00CC2358">
      <w:pPr>
        <w:spacing w:after="0" w:line="240" w:lineRule="auto"/>
        <w:jc w:val="both"/>
        <w:rPr>
          <w:rFonts w:eastAsia="Times New Roman" w:cstheme="minorHAnsi"/>
          <w:lang w:eastAsia="pl-PL"/>
        </w:rPr>
      </w:pPr>
      <w:r>
        <w:rPr>
          <w:rFonts w:eastAsia="Times New Roman" w:cstheme="minorHAnsi"/>
          <w:lang w:eastAsia="pl-PL"/>
        </w:rPr>
        <w:t>„</w:t>
      </w:r>
      <w:r w:rsidR="00412AC2" w:rsidRPr="00CC2358">
        <w:rPr>
          <w:rFonts w:eastAsia="Times New Roman" w:cstheme="minorHAnsi"/>
          <w:lang w:eastAsia="pl-PL"/>
        </w:rPr>
        <w:t>Czy Zamawiający w Części nr 1 w pozycji nr 27 dopuści nakładkę pętelkową z mikrofazy przeznaczona do mycia podłóg. Dzięki strukturze gęsto ułożonych długich miękkich włókien w kształcie pętelek dobrze  docierające w trudno dostępne miejsca tj. szczeliny, fugi, nierówności powierzchni oraz bardzo dokładnie usuwająca, pochłaniająca i zachowująca w swojej strukturze zabrudzenia. Dzięki właściwościom równomiernego oddawania substancji ciekłych idealnie nadająca się do nakładania akrylu. Posiadająca kieszeniowy system mocowania oraz specjalny pasek mocujący umożliwiający bezdotykowe wyciskanie nakładki. Wymiary: nakładka 41x14,5 cm; pasek mocujący 2,5 x 6 cm; kieszeń 7 x 12,5 cm?</w:t>
      </w:r>
      <w:r>
        <w:rPr>
          <w:rFonts w:eastAsia="Times New Roman" w:cstheme="minorHAnsi"/>
          <w:lang w:eastAsia="pl-PL"/>
        </w:rPr>
        <w:t>”</w:t>
      </w:r>
    </w:p>
    <w:p w:rsidR="00FD529C" w:rsidRDefault="00FD529C" w:rsidP="00CC2358">
      <w:pPr>
        <w:pStyle w:val="Bezodstpw"/>
        <w:rPr>
          <w:color w:val="FF0000"/>
        </w:rPr>
      </w:pPr>
      <w:bookmarkStart w:id="16" w:name="_Hlk69819287"/>
    </w:p>
    <w:p w:rsidR="00CC2358" w:rsidRDefault="00CC2358" w:rsidP="00CC2358">
      <w:pPr>
        <w:pStyle w:val="Bezodstpw"/>
        <w:rPr>
          <w:color w:val="FF0000"/>
        </w:rPr>
      </w:pPr>
      <w:r w:rsidRPr="00D8709C">
        <w:rPr>
          <w:color w:val="FF0000"/>
        </w:rPr>
        <w:t>Odpowiedź:</w:t>
      </w:r>
      <w:r>
        <w:rPr>
          <w:color w:val="FF0000"/>
        </w:rPr>
        <w:t xml:space="preserve"> </w:t>
      </w:r>
      <w:r w:rsidRPr="00A77947">
        <w:rPr>
          <w:color w:val="FF0000"/>
        </w:rPr>
        <w:t>Zamawiający wymaga zgodnie z zapisami SWZ.</w:t>
      </w:r>
    </w:p>
    <w:p w:rsidR="00CC2358" w:rsidRDefault="00CC2358" w:rsidP="00CC2358">
      <w:pPr>
        <w:pStyle w:val="Bezodstpw"/>
        <w:rPr>
          <w:b/>
        </w:rPr>
      </w:pPr>
      <w:bookmarkStart w:id="17" w:name="_Hlk69819297"/>
      <w:bookmarkEnd w:id="16"/>
    </w:p>
    <w:p w:rsidR="00CC2358" w:rsidRPr="00A77947" w:rsidRDefault="00CC2358" w:rsidP="00CC2358">
      <w:pPr>
        <w:pStyle w:val="Bezodstpw"/>
        <w:rPr>
          <w:b/>
        </w:rPr>
      </w:pPr>
      <w:r w:rsidRPr="00A77947">
        <w:rPr>
          <w:b/>
        </w:rPr>
        <w:t xml:space="preserve">Pytanie </w:t>
      </w:r>
      <w:r>
        <w:rPr>
          <w:b/>
        </w:rPr>
        <w:t>5</w:t>
      </w:r>
      <w:r w:rsidRPr="00A77947">
        <w:rPr>
          <w:b/>
        </w:rPr>
        <w:t xml:space="preserve">: </w:t>
      </w:r>
    </w:p>
    <w:bookmarkEnd w:id="17"/>
    <w:p w:rsidR="00412AC2" w:rsidRPr="00CC2358" w:rsidRDefault="00CC2358" w:rsidP="00CC2358">
      <w:pPr>
        <w:spacing w:after="0" w:line="240" w:lineRule="auto"/>
        <w:jc w:val="both"/>
        <w:rPr>
          <w:rFonts w:eastAsia="Times New Roman" w:cstheme="minorHAnsi"/>
          <w:lang w:eastAsia="pl-PL"/>
        </w:rPr>
      </w:pPr>
      <w:r>
        <w:rPr>
          <w:rFonts w:eastAsia="Times New Roman" w:cstheme="minorHAnsi"/>
          <w:lang w:eastAsia="pl-PL"/>
        </w:rPr>
        <w:t>„</w:t>
      </w:r>
      <w:r w:rsidR="00412AC2" w:rsidRPr="00CC2358">
        <w:rPr>
          <w:rFonts w:eastAsia="Times New Roman" w:cstheme="minorHAnsi"/>
          <w:lang w:eastAsia="pl-PL"/>
        </w:rPr>
        <w:t>Czy Zamawiający w Części nr 1 w pozycji nr 28 dopuści nakładkę pętelkową z mikrofazy przeznaczona do mycia podłóg. Dzięki strukturze gęsto ułożonych długich miękkich włókien w kształcie pętelek dobrze  docierające w trudno dostępne miejsca tj. szczeliny, fugi, nierówności powierzchni oraz bardzo dokładnie usuwająca, pochłaniająca i zachowująca w swojej strukturze zabrudzenia. Dzięki właściwościom równomiernego oddawania substancji ciekłych idealnie nadająca się do nakładania akrylu. Posiadająca kieszeniowy system mocowania oraz specjalny pasek mocujący umożliwiający bezdotykowe wyciskanie nakładki. Wymiary: nakładka 41x14,5 cm; pasek mocujący 2,5 x 6 cm; kieszeń 7 x 12,5 cm; Skład: 80% poliester, 20% poliamid</w:t>
      </w:r>
      <w:r>
        <w:rPr>
          <w:rFonts w:eastAsia="Times New Roman" w:cstheme="minorHAnsi"/>
          <w:lang w:eastAsia="pl-PL"/>
        </w:rPr>
        <w:t>”</w:t>
      </w:r>
    </w:p>
    <w:p w:rsidR="006260A1" w:rsidRDefault="006260A1" w:rsidP="00CC2358">
      <w:pPr>
        <w:pStyle w:val="Bezodstpw"/>
        <w:rPr>
          <w:color w:val="FF0000"/>
        </w:rPr>
      </w:pPr>
    </w:p>
    <w:p w:rsidR="00CC2358" w:rsidRDefault="00CC2358" w:rsidP="00CC2358">
      <w:pPr>
        <w:pStyle w:val="Bezodstpw"/>
        <w:rPr>
          <w:color w:val="FF0000"/>
        </w:rPr>
      </w:pPr>
      <w:r w:rsidRPr="00D8709C">
        <w:rPr>
          <w:color w:val="FF0000"/>
        </w:rPr>
        <w:t>Odpowiedź:</w:t>
      </w:r>
      <w:r>
        <w:rPr>
          <w:color w:val="FF0000"/>
        </w:rPr>
        <w:t xml:space="preserve"> </w:t>
      </w:r>
      <w:r w:rsidRPr="00A77947">
        <w:rPr>
          <w:color w:val="FF0000"/>
        </w:rPr>
        <w:t>Zamawiający wymaga zgodnie z zapisami SWZ.</w:t>
      </w:r>
    </w:p>
    <w:p w:rsidR="00CC2358" w:rsidRDefault="00CC2358" w:rsidP="00CC2358">
      <w:pPr>
        <w:pStyle w:val="Bezodstpw"/>
        <w:rPr>
          <w:b/>
        </w:rPr>
      </w:pPr>
    </w:p>
    <w:p w:rsidR="00CC2358" w:rsidRPr="00A77947" w:rsidRDefault="00CC2358" w:rsidP="00CC2358">
      <w:pPr>
        <w:pStyle w:val="Bezodstpw"/>
        <w:rPr>
          <w:b/>
        </w:rPr>
      </w:pPr>
      <w:bookmarkStart w:id="18" w:name="_Hlk69819357"/>
      <w:r w:rsidRPr="00A77947">
        <w:rPr>
          <w:b/>
        </w:rPr>
        <w:t xml:space="preserve">Pytanie </w:t>
      </w:r>
      <w:r>
        <w:rPr>
          <w:b/>
        </w:rPr>
        <w:t>6</w:t>
      </w:r>
      <w:r w:rsidRPr="00A77947">
        <w:rPr>
          <w:b/>
        </w:rPr>
        <w:t xml:space="preserve">: </w:t>
      </w:r>
    </w:p>
    <w:bookmarkEnd w:id="18"/>
    <w:p w:rsidR="00412AC2" w:rsidRPr="00CC2358" w:rsidRDefault="00CC2358" w:rsidP="00CC2358">
      <w:pPr>
        <w:autoSpaceDE w:val="0"/>
        <w:autoSpaceDN w:val="0"/>
        <w:adjustRightInd w:val="0"/>
        <w:spacing w:after="0" w:line="240" w:lineRule="auto"/>
        <w:jc w:val="both"/>
        <w:rPr>
          <w:rFonts w:cstheme="minorHAnsi"/>
          <w:b/>
        </w:rPr>
      </w:pPr>
      <w:r>
        <w:rPr>
          <w:rFonts w:eastAsia="Times New Roman" w:cstheme="minorHAnsi"/>
          <w:lang w:eastAsia="pl-PL"/>
        </w:rPr>
        <w:t>„</w:t>
      </w:r>
      <w:r w:rsidR="00412AC2" w:rsidRPr="00CC2358">
        <w:rPr>
          <w:rFonts w:eastAsia="Times New Roman" w:cstheme="minorHAnsi"/>
          <w:lang w:eastAsia="pl-PL"/>
        </w:rPr>
        <w:t xml:space="preserve">Czy Zamawiający w Części nr 1 w pozycji nr 29 dopuści nakładkę bawełnianą przeznaczoną do mycia i dezynfekcji wszelkich zmywalnych powierzchni podłogowych Posiadająca kieszeniowy system mocowania. Posiadająca kieszeniowy system mocowania. Kieszonki usztywniane specjalną wkładką. Rogi kieszeni zakończone są trójkątnym otworem umożliwiającym odsączanie wody. Posiadającą specjalny pasek </w:t>
      </w:r>
      <w:proofErr w:type="spellStart"/>
      <w:r w:rsidR="00412AC2" w:rsidRPr="00CC2358">
        <w:rPr>
          <w:rFonts w:eastAsia="Times New Roman" w:cstheme="minorHAnsi"/>
          <w:lang w:eastAsia="pl-PL"/>
        </w:rPr>
        <w:t>pasek</w:t>
      </w:r>
      <w:proofErr w:type="spellEnd"/>
      <w:r w:rsidR="00412AC2" w:rsidRPr="00CC2358">
        <w:rPr>
          <w:rFonts w:eastAsia="Times New Roman" w:cstheme="minorHAnsi"/>
          <w:lang w:eastAsia="pl-PL"/>
        </w:rPr>
        <w:t xml:space="preserve"> mocujący umożliwiający bezdotykowe wyciskanie. Posiadająca cztery kolorowe wszywki, dzięki którym można oznaczyć przeznaczenie nakładki w zależności od rodzaju sprzątanych powierzchni.  Bawełniane pętelki myjące przeszyte są do płóciennej podstawy za pomocą 3 par ściegów na środku orz 2 na krawędziach nakładki. Skład:100% bawełna. Wymiary nakładki 43,5 x 14 cm. Pasek mocujący 21 x 6 cm; kieszeń 6,5 x 12 cm, waga 120g, temperatura prania 90 </w:t>
      </w:r>
      <w:proofErr w:type="spellStart"/>
      <w:r w:rsidR="00412AC2" w:rsidRPr="00CC2358">
        <w:rPr>
          <w:rFonts w:eastAsia="Times New Roman" w:cstheme="minorHAnsi"/>
          <w:lang w:eastAsia="pl-PL"/>
        </w:rPr>
        <w:t>st</w:t>
      </w:r>
      <w:proofErr w:type="spellEnd"/>
      <w:r w:rsidR="00412AC2" w:rsidRPr="00CC2358">
        <w:rPr>
          <w:rFonts w:eastAsia="Times New Roman" w:cstheme="minorHAnsi"/>
          <w:lang w:eastAsia="pl-PL"/>
        </w:rPr>
        <w:t xml:space="preserve"> C. Ilość prań : 250 cykli?</w:t>
      </w:r>
    </w:p>
    <w:p w:rsidR="006260A1" w:rsidRDefault="006260A1" w:rsidP="00CC2358">
      <w:pPr>
        <w:pStyle w:val="Bezodstpw"/>
        <w:rPr>
          <w:color w:val="FF0000"/>
        </w:rPr>
      </w:pPr>
      <w:bookmarkStart w:id="19" w:name="_Hlk69819382"/>
    </w:p>
    <w:p w:rsidR="00CC2358" w:rsidRDefault="00CC2358" w:rsidP="00CC2358">
      <w:pPr>
        <w:pStyle w:val="Bezodstpw"/>
        <w:rPr>
          <w:color w:val="FF0000"/>
        </w:rPr>
      </w:pPr>
      <w:r w:rsidRPr="00D8709C">
        <w:rPr>
          <w:color w:val="FF0000"/>
        </w:rPr>
        <w:t>Odpowiedź:</w:t>
      </w:r>
      <w:r>
        <w:rPr>
          <w:color w:val="FF0000"/>
        </w:rPr>
        <w:t xml:space="preserve"> </w:t>
      </w:r>
      <w:r w:rsidRPr="00A77947">
        <w:rPr>
          <w:color w:val="FF0000"/>
        </w:rPr>
        <w:t>Zamawiający wymaga zgodnie z zapisami SWZ.</w:t>
      </w:r>
    </w:p>
    <w:p w:rsidR="00CC2358" w:rsidRDefault="00CC2358" w:rsidP="00CC2358">
      <w:pPr>
        <w:pStyle w:val="Bezodstpw"/>
        <w:rPr>
          <w:b/>
        </w:rPr>
      </w:pPr>
      <w:bookmarkStart w:id="20" w:name="_Hlk69819401"/>
      <w:bookmarkEnd w:id="19"/>
    </w:p>
    <w:p w:rsidR="00CC2358" w:rsidRPr="00A77947" w:rsidRDefault="00CC2358" w:rsidP="00CC2358">
      <w:pPr>
        <w:pStyle w:val="Bezodstpw"/>
        <w:rPr>
          <w:b/>
        </w:rPr>
      </w:pPr>
      <w:r w:rsidRPr="00A77947">
        <w:rPr>
          <w:b/>
        </w:rPr>
        <w:t xml:space="preserve">Pytanie </w:t>
      </w:r>
      <w:r>
        <w:rPr>
          <w:b/>
        </w:rPr>
        <w:t>7</w:t>
      </w:r>
      <w:r w:rsidRPr="00A77947">
        <w:rPr>
          <w:b/>
        </w:rPr>
        <w:t xml:space="preserve">: </w:t>
      </w:r>
    </w:p>
    <w:bookmarkEnd w:id="20"/>
    <w:p w:rsidR="00412AC2" w:rsidRPr="00CC2358" w:rsidRDefault="00CC2358" w:rsidP="00CC2358">
      <w:pPr>
        <w:autoSpaceDE w:val="0"/>
        <w:autoSpaceDN w:val="0"/>
        <w:adjustRightInd w:val="0"/>
        <w:spacing w:after="0" w:line="240" w:lineRule="auto"/>
        <w:jc w:val="both"/>
        <w:rPr>
          <w:rFonts w:cstheme="minorHAnsi"/>
          <w:b/>
        </w:rPr>
      </w:pPr>
      <w:r>
        <w:rPr>
          <w:rFonts w:eastAsia="Times New Roman" w:cstheme="minorHAnsi"/>
          <w:lang w:eastAsia="pl-PL"/>
        </w:rPr>
        <w:t>„</w:t>
      </w:r>
      <w:r w:rsidR="00412AC2" w:rsidRPr="00CC2358">
        <w:rPr>
          <w:rFonts w:eastAsia="Times New Roman" w:cstheme="minorHAnsi"/>
          <w:lang w:eastAsia="pl-PL"/>
        </w:rPr>
        <w:t xml:space="preserve">Czy Zamawiający w Części nr 1 w pozycji nr 30 dopuści nakładkę bawełnianą przeznaczoną do mycia i dezynfekcji wszelkich zmywalnych powierzchni podłogowych Posiadająca kieszeniowy system mocowania. Posiadająca kieszeniowy system mocowania. Kieszonki usztywniane specjalną wkładką. Rogi kieszeni zakończone są trójkątnym otworem umożliwiającym odsączanie wody. Posiadającą specjalny pasek </w:t>
      </w:r>
      <w:proofErr w:type="spellStart"/>
      <w:r w:rsidR="00412AC2" w:rsidRPr="00CC2358">
        <w:rPr>
          <w:rFonts w:eastAsia="Times New Roman" w:cstheme="minorHAnsi"/>
          <w:lang w:eastAsia="pl-PL"/>
        </w:rPr>
        <w:t>pasek</w:t>
      </w:r>
      <w:proofErr w:type="spellEnd"/>
      <w:r w:rsidR="00412AC2" w:rsidRPr="00CC2358">
        <w:rPr>
          <w:rFonts w:eastAsia="Times New Roman" w:cstheme="minorHAnsi"/>
          <w:lang w:eastAsia="pl-PL"/>
        </w:rPr>
        <w:t xml:space="preserve"> mocujący umożliwiający bezdotykowe wyciskanie. Posiadająca cztery kolorowe wszywki, dzięki którym można oznaczyć przeznaczenie nakładki w zależności od rodzaju sprzątanych powierzchni.  Bawełniane pętelki myjące przeszyte są do płóciennej podstawy za pomocą 3 par ściegów na środku orz 2 na krawędziach nakładki. Skład:100% bawełna. Wymiary nakładki 43,5 x 14 cm. Pasek mocujący 21 x 6 cm; kieszeń 6,5 x 12 cm, waga 120g, temperatura prania 90 </w:t>
      </w:r>
      <w:proofErr w:type="spellStart"/>
      <w:r w:rsidR="00412AC2" w:rsidRPr="00CC2358">
        <w:rPr>
          <w:rFonts w:eastAsia="Times New Roman" w:cstheme="minorHAnsi"/>
          <w:lang w:eastAsia="pl-PL"/>
        </w:rPr>
        <w:t>st</w:t>
      </w:r>
      <w:proofErr w:type="spellEnd"/>
      <w:r w:rsidR="00412AC2" w:rsidRPr="00CC2358">
        <w:rPr>
          <w:rFonts w:eastAsia="Times New Roman" w:cstheme="minorHAnsi"/>
          <w:lang w:eastAsia="pl-PL"/>
        </w:rPr>
        <w:t xml:space="preserve"> C. Ilość prań : 250 cykli? </w:t>
      </w:r>
      <w:r>
        <w:rPr>
          <w:rFonts w:eastAsia="Times New Roman" w:cstheme="minorHAnsi"/>
          <w:lang w:eastAsia="pl-PL"/>
        </w:rPr>
        <w:t>„</w:t>
      </w:r>
    </w:p>
    <w:p w:rsidR="006260A1" w:rsidRDefault="006260A1" w:rsidP="00CC2358">
      <w:pPr>
        <w:pStyle w:val="Bezodstpw"/>
        <w:rPr>
          <w:color w:val="FF0000"/>
        </w:rPr>
      </w:pPr>
      <w:bookmarkStart w:id="21" w:name="_Hlk69819447"/>
    </w:p>
    <w:p w:rsidR="00CC2358" w:rsidRDefault="00CC2358" w:rsidP="00CC2358">
      <w:pPr>
        <w:pStyle w:val="Bezodstpw"/>
        <w:rPr>
          <w:color w:val="FF0000"/>
        </w:rPr>
      </w:pPr>
      <w:r w:rsidRPr="00D8709C">
        <w:rPr>
          <w:color w:val="FF0000"/>
        </w:rPr>
        <w:t>Odpowiedź:</w:t>
      </w:r>
      <w:r>
        <w:rPr>
          <w:color w:val="FF0000"/>
        </w:rPr>
        <w:t xml:space="preserve"> </w:t>
      </w:r>
      <w:r w:rsidRPr="00A77947">
        <w:rPr>
          <w:color w:val="FF0000"/>
        </w:rPr>
        <w:t>Zamawiający wymaga zgodnie z zapisami SWZ.</w:t>
      </w:r>
    </w:p>
    <w:bookmarkEnd w:id="21"/>
    <w:p w:rsidR="00CC2358" w:rsidRDefault="00CC2358" w:rsidP="00CC2358">
      <w:pPr>
        <w:pStyle w:val="Bezodstpw"/>
        <w:rPr>
          <w:b/>
        </w:rPr>
      </w:pPr>
    </w:p>
    <w:p w:rsidR="00CC2358" w:rsidRPr="00A77947" w:rsidRDefault="00CC2358" w:rsidP="00CC2358">
      <w:pPr>
        <w:pStyle w:val="Bezodstpw"/>
        <w:rPr>
          <w:b/>
        </w:rPr>
      </w:pPr>
      <w:bookmarkStart w:id="22" w:name="_Hlk69819571"/>
      <w:r w:rsidRPr="00A77947">
        <w:rPr>
          <w:b/>
        </w:rPr>
        <w:t xml:space="preserve">Pytanie </w:t>
      </w:r>
      <w:r>
        <w:rPr>
          <w:b/>
        </w:rPr>
        <w:t>8</w:t>
      </w:r>
      <w:r w:rsidRPr="00A77947">
        <w:rPr>
          <w:b/>
        </w:rPr>
        <w:t xml:space="preserve">: </w:t>
      </w:r>
    </w:p>
    <w:bookmarkEnd w:id="22"/>
    <w:p w:rsidR="00412AC2" w:rsidRPr="00CC2358" w:rsidRDefault="00CC2358" w:rsidP="00CC2358">
      <w:pPr>
        <w:spacing w:after="0" w:line="240" w:lineRule="auto"/>
        <w:jc w:val="both"/>
        <w:rPr>
          <w:rFonts w:eastAsia="Times New Roman" w:cstheme="minorHAnsi"/>
          <w:lang w:eastAsia="pl-PL"/>
        </w:rPr>
      </w:pPr>
      <w:r>
        <w:rPr>
          <w:rFonts w:eastAsia="Times New Roman" w:cstheme="minorHAnsi"/>
          <w:lang w:eastAsia="pl-PL"/>
        </w:rPr>
        <w:t>„</w:t>
      </w:r>
      <w:r w:rsidR="00412AC2" w:rsidRPr="00CC2358">
        <w:rPr>
          <w:rFonts w:eastAsia="Times New Roman" w:cstheme="minorHAnsi"/>
          <w:lang w:eastAsia="pl-PL"/>
        </w:rPr>
        <w:t xml:space="preserve">Czy Zamawiający w Części nr 1 w pozycji nr 31 dopuści antybakteryjny środek do czyszczenia urządzeń sanitarnych (umywalki, muszle klozetowe, pisuary, kabiny prysznicowe, armatura łazienkowa) o wiśniowym zapachu w kolorze czerwonym (kolor nakrętki zgodny z kodowaniem kolorystycznym produktu tj. czerwonym). Usuwający kamień i rdzę, resztki mydła, tłuste zabrudzenia. Z możliwością stosowania do mycia elementów ze stali nierdzewnej i aluminium. Zawierający w swoim składzie: kwas fosforowy(V), kwas </w:t>
      </w:r>
      <w:proofErr w:type="spellStart"/>
      <w:r w:rsidR="00412AC2" w:rsidRPr="00CC2358">
        <w:rPr>
          <w:rFonts w:eastAsia="Times New Roman" w:cstheme="minorHAnsi"/>
          <w:lang w:eastAsia="pl-PL"/>
        </w:rPr>
        <w:t>amidosiarkowy</w:t>
      </w:r>
      <w:proofErr w:type="spellEnd"/>
      <w:r w:rsidR="00412AC2" w:rsidRPr="00CC2358">
        <w:rPr>
          <w:rFonts w:eastAsia="Times New Roman" w:cstheme="minorHAnsi"/>
          <w:lang w:eastAsia="pl-PL"/>
        </w:rPr>
        <w:t xml:space="preserve"> (VI), (metylo-2-metoksyetoksy)propanol. Nie zawierający kwasu solnego ani siarkowego. Dozowanie: czyszczenie codzienne: od 25 do 200 ml na 10 l zimnej wody, czyszczenie gruntowne: nierozcieńczonym środkiem. Gęstość 1070 - 1080 kg/m³. </w:t>
      </w:r>
      <w:proofErr w:type="spellStart"/>
      <w:r w:rsidR="00412AC2" w:rsidRPr="00CC2358">
        <w:rPr>
          <w:rFonts w:eastAsia="Times New Roman" w:cstheme="minorHAnsi"/>
          <w:lang w:eastAsia="pl-PL"/>
        </w:rPr>
        <w:t>pH</w:t>
      </w:r>
      <w:proofErr w:type="spellEnd"/>
      <w:r w:rsidR="00412AC2" w:rsidRPr="00CC2358">
        <w:rPr>
          <w:rFonts w:eastAsia="Times New Roman" w:cstheme="minorHAnsi"/>
          <w:lang w:eastAsia="pl-PL"/>
        </w:rPr>
        <w:t xml:space="preserve"> 0,5 - 1,5. Konfekcjonowany w opakowanie 1L?</w:t>
      </w:r>
      <w:r>
        <w:rPr>
          <w:rFonts w:eastAsia="Times New Roman" w:cstheme="minorHAnsi"/>
          <w:lang w:eastAsia="pl-PL"/>
        </w:rPr>
        <w:t>”</w:t>
      </w:r>
    </w:p>
    <w:p w:rsidR="006260A1" w:rsidRDefault="006260A1" w:rsidP="00CC2358">
      <w:pPr>
        <w:pStyle w:val="Bezodstpw"/>
        <w:rPr>
          <w:color w:val="FF0000"/>
        </w:rPr>
      </w:pPr>
      <w:bookmarkStart w:id="23" w:name="_Hlk69819657"/>
    </w:p>
    <w:p w:rsidR="00CC2358" w:rsidRDefault="00CC2358" w:rsidP="00CC2358">
      <w:pPr>
        <w:pStyle w:val="Bezodstpw"/>
        <w:rPr>
          <w:color w:val="FF0000"/>
        </w:rPr>
      </w:pPr>
      <w:r w:rsidRPr="00D8709C">
        <w:rPr>
          <w:color w:val="FF0000"/>
        </w:rPr>
        <w:t>Odpowiedź:</w:t>
      </w:r>
      <w:r>
        <w:rPr>
          <w:color w:val="FF0000"/>
        </w:rPr>
        <w:t xml:space="preserve"> </w:t>
      </w:r>
      <w:bookmarkStart w:id="24" w:name="_Hlk69819994"/>
      <w:r w:rsidRPr="00A77947">
        <w:rPr>
          <w:color w:val="FF0000"/>
        </w:rPr>
        <w:t xml:space="preserve">Zamawiający </w:t>
      </w:r>
      <w:r>
        <w:rPr>
          <w:color w:val="FF0000"/>
        </w:rPr>
        <w:t xml:space="preserve">dopuszcza. </w:t>
      </w:r>
      <w:bookmarkEnd w:id="23"/>
      <w:r>
        <w:rPr>
          <w:color w:val="FF0000"/>
        </w:rPr>
        <w:t xml:space="preserve">Pozostałe wymagania </w:t>
      </w:r>
      <w:r w:rsidRPr="00A77947">
        <w:rPr>
          <w:color w:val="FF0000"/>
        </w:rPr>
        <w:t>zgodnie z zapisami SWZ.</w:t>
      </w:r>
    </w:p>
    <w:bookmarkEnd w:id="24"/>
    <w:p w:rsidR="00CC2358" w:rsidRDefault="00CC2358" w:rsidP="00CC2358">
      <w:pPr>
        <w:pStyle w:val="Bezodstpw"/>
        <w:rPr>
          <w:b/>
        </w:rPr>
      </w:pPr>
    </w:p>
    <w:p w:rsidR="00CC2358" w:rsidRPr="00A77947" w:rsidRDefault="00CC2358" w:rsidP="00CC2358">
      <w:pPr>
        <w:pStyle w:val="Bezodstpw"/>
        <w:rPr>
          <w:b/>
        </w:rPr>
      </w:pPr>
      <w:bookmarkStart w:id="25" w:name="_Hlk69819923"/>
      <w:r w:rsidRPr="00A77947">
        <w:rPr>
          <w:b/>
        </w:rPr>
        <w:t xml:space="preserve">Pytanie </w:t>
      </w:r>
      <w:r>
        <w:rPr>
          <w:b/>
        </w:rPr>
        <w:t>9</w:t>
      </w:r>
      <w:r w:rsidRPr="00A77947">
        <w:rPr>
          <w:b/>
        </w:rPr>
        <w:t xml:space="preserve">: </w:t>
      </w:r>
    </w:p>
    <w:bookmarkEnd w:id="25"/>
    <w:p w:rsidR="00412AC2" w:rsidRPr="00CC2358" w:rsidRDefault="00CC2358" w:rsidP="00CC2358">
      <w:pPr>
        <w:spacing w:after="0" w:line="240" w:lineRule="auto"/>
        <w:jc w:val="both"/>
        <w:rPr>
          <w:rFonts w:eastAsia="Times New Roman" w:cstheme="minorHAnsi"/>
          <w:lang w:eastAsia="pl-PL"/>
        </w:rPr>
      </w:pPr>
      <w:r>
        <w:rPr>
          <w:rFonts w:eastAsia="Times New Roman" w:cstheme="minorHAnsi"/>
          <w:lang w:eastAsia="pl-PL"/>
        </w:rPr>
        <w:t>„</w:t>
      </w:r>
      <w:r w:rsidR="00412AC2" w:rsidRPr="00CC2358">
        <w:rPr>
          <w:rFonts w:eastAsia="Times New Roman" w:cstheme="minorHAnsi"/>
          <w:lang w:eastAsia="pl-PL"/>
        </w:rPr>
        <w:t xml:space="preserve">Czy Zamawiający w Części nr 1 w pozycji nr 32 dopuści antybakteryjny żel do mycia i odkamieniania sanitariatów: muszli klozetowych, pisuarów, umywalek i armatury łazienkowej. Skutecznie usuwający kamień i osady z mydła. </w:t>
      </w:r>
      <w:proofErr w:type="spellStart"/>
      <w:r w:rsidR="00412AC2" w:rsidRPr="00CC2358">
        <w:rPr>
          <w:rFonts w:eastAsia="Times New Roman" w:cstheme="minorHAnsi"/>
          <w:lang w:eastAsia="pl-PL"/>
        </w:rPr>
        <w:t>Posiadajacy</w:t>
      </w:r>
      <w:proofErr w:type="spellEnd"/>
      <w:r w:rsidR="00412AC2" w:rsidRPr="00CC2358">
        <w:rPr>
          <w:rFonts w:eastAsia="Times New Roman" w:cstheme="minorHAnsi"/>
          <w:lang w:eastAsia="pl-PL"/>
        </w:rPr>
        <w:t xml:space="preserve"> właściwości antybakteryjne oraz przyjemny i świeży owocowy zapach. </w:t>
      </w:r>
      <w:proofErr w:type="spellStart"/>
      <w:r w:rsidR="00412AC2" w:rsidRPr="00CC2358">
        <w:rPr>
          <w:rFonts w:eastAsia="Times New Roman" w:cstheme="minorHAnsi"/>
          <w:lang w:eastAsia="pl-PL"/>
        </w:rPr>
        <w:t>Zawierajacy</w:t>
      </w:r>
      <w:proofErr w:type="spellEnd"/>
      <w:r w:rsidR="00412AC2" w:rsidRPr="00CC2358">
        <w:rPr>
          <w:rFonts w:eastAsia="Times New Roman" w:cstheme="minorHAnsi"/>
          <w:lang w:eastAsia="pl-PL"/>
        </w:rPr>
        <w:t xml:space="preserve"> w składzie: 2,2´(oktadek-9-enilimino)</w:t>
      </w:r>
      <w:proofErr w:type="spellStart"/>
      <w:r w:rsidR="00412AC2" w:rsidRPr="00CC2358">
        <w:rPr>
          <w:rFonts w:eastAsia="Times New Roman" w:cstheme="minorHAnsi"/>
          <w:lang w:eastAsia="pl-PL"/>
        </w:rPr>
        <w:t>bisetanol</w:t>
      </w:r>
      <w:proofErr w:type="spellEnd"/>
      <w:r w:rsidR="00412AC2" w:rsidRPr="00CC2358">
        <w:rPr>
          <w:rFonts w:eastAsia="Times New Roman" w:cstheme="minorHAnsi"/>
          <w:lang w:eastAsia="pl-PL"/>
        </w:rPr>
        <w:t xml:space="preserve">, Kwas fosforowy, Kwas </w:t>
      </w:r>
      <w:proofErr w:type="spellStart"/>
      <w:r w:rsidR="00412AC2" w:rsidRPr="00CC2358">
        <w:rPr>
          <w:rFonts w:eastAsia="Times New Roman" w:cstheme="minorHAnsi"/>
          <w:lang w:eastAsia="pl-PL"/>
        </w:rPr>
        <w:t>amidosiarkowy</w:t>
      </w:r>
      <w:proofErr w:type="spellEnd"/>
      <w:r w:rsidR="00412AC2" w:rsidRPr="00CC2358">
        <w:rPr>
          <w:rFonts w:eastAsia="Times New Roman" w:cstheme="minorHAnsi"/>
          <w:lang w:eastAsia="pl-PL"/>
        </w:rPr>
        <w:t xml:space="preserve">.  Gęstość 1045 - 1065 kg/m³, </w:t>
      </w:r>
      <w:proofErr w:type="spellStart"/>
      <w:r w:rsidR="00412AC2" w:rsidRPr="00CC2358">
        <w:rPr>
          <w:rFonts w:eastAsia="Times New Roman" w:cstheme="minorHAnsi"/>
          <w:lang w:eastAsia="pl-PL"/>
        </w:rPr>
        <w:t>pH</w:t>
      </w:r>
      <w:proofErr w:type="spellEnd"/>
      <w:r w:rsidR="00412AC2" w:rsidRPr="00CC2358">
        <w:rPr>
          <w:rFonts w:eastAsia="Times New Roman" w:cstheme="minorHAnsi"/>
          <w:lang w:eastAsia="pl-PL"/>
        </w:rPr>
        <w:t xml:space="preserve"> 1 ± 0,5. Opakowanie 0,75l butelka typu „kaczka” ułatwiająca dotarcie do trudnodostępnych miejsc. Konfekcjonowany w opakowanie 750 ml z odpowiednim przeliczeniem ilości opakowań wymaganych przez zamawiającego?</w:t>
      </w:r>
      <w:r>
        <w:rPr>
          <w:rFonts w:eastAsia="Times New Roman" w:cstheme="minorHAnsi"/>
          <w:lang w:eastAsia="pl-PL"/>
        </w:rPr>
        <w:t>”</w:t>
      </w:r>
    </w:p>
    <w:p w:rsidR="006260A1" w:rsidRDefault="006260A1" w:rsidP="00A61870">
      <w:pPr>
        <w:jc w:val="both"/>
        <w:rPr>
          <w:color w:val="FF0000"/>
        </w:rPr>
      </w:pPr>
      <w:bookmarkStart w:id="26" w:name="_Hlk69819968"/>
      <w:bookmarkStart w:id="27" w:name="_Hlk69820302"/>
    </w:p>
    <w:p w:rsidR="00A61870" w:rsidRDefault="00CC2358" w:rsidP="00A61870">
      <w:pPr>
        <w:jc w:val="both"/>
        <w:rPr>
          <w:color w:val="FF0000"/>
        </w:rPr>
      </w:pPr>
      <w:r w:rsidRPr="00D8709C">
        <w:rPr>
          <w:color w:val="FF0000"/>
        </w:rPr>
        <w:t>Odpowiedź:</w:t>
      </w:r>
      <w:r>
        <w:rPr>
          <w:color w:val="FF0000"/>
        </w:rPr>
        <w:t xml:space="preserve"> </w:t>
      </w:r>
      <w:r w:rsidRPr="00A77947">
        <w:rPr>
          <w:color w:val="FF0000"/>
        </w:rPr>
        <w:t xml:space="preserve">Zamawiający </w:t>
      </w:r>
      <w:r>
        <w:rPr>
          <w:color w:val="FF0000"/>
        </w:rPr>
        <w:t>dopuszcza</w:t>
      </w:r>
      <w:bookmarkEnd w:id="26"/>
      <w:r w:rsidR="00A61870">
        <w:rPr>
          <w:color w:val="FF0000"/>
        </w:rPr>
        <w:t xml:space="preserve"> pod warunkiem, że zaproponowany produkt będzie dostarczany przez Wykonawcę w opakowaniu oryginalnie zamkniętym. </w:t>
      </w:r>
      <w:r w:rsidR="00A61870" w:rsidRPr="00A61870">
        <w:rPr>
          <w:color w:val="FF0000"/>
        </w:rPr>
        <w:t xml:space="preserve">Zamawiający dopuści inne ilości sztuk w opakowaniu przedmiotu zamówienia, niż wskazane w załączniku nr 4 do </w:t>
      </w:r>
      <w:proofErr w:type="spellStart"/>
      <w:r w:rsidR="00A61870" w:rsidRPr="00A61870">
        <w:rPr>
          <w:color w:val="FF0000"/>
        </w:rPr>
        <w:t>swz</w:t>
      </w:r>
      <w:proofErr w:type="spellEnd"/>
      <w:r w:rsidR="00A61870" w:rsidRPr="00A61870">
        <w:rPr>
          <w:color w:val="FF0000"/>
        </w:rPr>
        <w:t xml:space="preserve">, ale tylko po ich odpowiednim przeliczeniu w stosunku do zapotrzebowania Zamawiającego. Wykonawca jest zobowiązany samodzielnie dokonać właściwego przeliczenia i zaznaczyć to w załączniku nr 1a, 1b do </w:t>
      </w:r>
      <w:proofErr w:type="spellStart"/>
      <w:r w:rsidR="00A61870" w:rsidRPr="00A61870">
        <w:rPr>
          <w:color w:val="FF0000"/>
        </w:rPr>
        <w:t>swz</w:t>
      </w:r>
      <w:proofErr w:type="spellEnd"/>
      <w:r w:rsidR="00A61870" w:rsidRPr="00A61870">
        <w:rPr>
          <w:color w:val="FF0000"/>
        </w:rPr>
        <w:t xml:space="preserve">, który składa w swojej ofercie. Ponieważ Wykonawca nie wskazał sposobu przeliczenia oferty, Zamawiający wymaga aby wycena Wykonawcy </w:t>
      </w:r>
      <w:r w:rsidR="00A61870" w:rsidRPr="00A61870">
        <w:rPr>
          <w:b/>
          <w:color w:val="FF0000"/>
          <w:u w:val="single"/>
        </w:rPr>
        <w:t>obejmowała tylko pełne opakowania o zaproponowanej odpowiednio pojemności.</w:t>
      </w:r>
      <w:r w:rsidR="00A61870" w:rsidRPr="00A61870">
        <w:rPr>
          <w:color w:val="FF0000"/>
        </w:rPr>
        <w:t xml:space="preserve"> Nie dopuszcza dzielenia opakowań bądź też zaokrąglania ich pojemności -/+ do pełnych objętości. </w:t>
      </w:r>
    </w:p>
    <w:p w:rsidR="00A61870" w:rsidRPr="00A77947" w:rsidRDefault="00A61870" w:rsidP="00A61870">
      <w:pPr>
        <w:pStyle w:val="Bezodstpw"/>
        <w:rPr>
          <w:b/>
        </w:rPr>
      </w:pPr>
      <w:bookmarkStart w:id="28" w:name="_Hlk69820010"/>
      <w:bookmarkEnd w:id="27"/>
      <w:r w:rsidRPr="00A77947">
        <w:rPr>
          <w:b/>
        </w:rPr>
        <w:t xml:space="preserve">Pytanie </w:t>
      </w:r>
      <w:r>
        <w:rPr>
          <w:b/>
        </w:rPr>
        <w:t>10</w:t>
      </w:r>
      <w:r w:rsidRPr="00A77947">
        <w:rPr>
          <w:b/>
        </w:rPr>
        <w:t xml:space="preserve">: </w:t>
      </w:r>
    </w:p>
    <w:bookmarkEnd w:id="28"/>
    <w:p w:rsidR="00412AC2" w:rsidRDefault="00A61870" w:rsidP="00A61870">
      <w:pPr>
        <w:pStyle w:val="Bezodstpw"/>
        <w:jc w:val="both"/>
        <w:rPr>
          <w:lang w:eastAsia="pl-PL"/>
        </w:rPr>
      </w:pPr>
      <w:r>
        <w:rPr>
          <w:lang w:eastAsia="pl-PL"/>
        </w:rPr>
        <w:t>„</w:t>
      </w:r>
      <w:r w:rsidR="00412AC2" w:rsidRPr="00412AC2">
        <w:rPr>
          <w:lang w:eastAsia="pl-PL"/>
        </w:rPr>
        <w:t xml:space="preserve">Czy Zamawiający w Części nr 1 w pozycji nr 34 dopuści płyn do ręcznego mycia naczyń skutecznie usuwający tłuszcz i zabrudzenia białkowe, dozowanie - 5 ml (1 łyżeczka) do 5 litrów wody. O zapachu cytrynowym, miętowym. Zawierający w składzie: anionowe, niejonowe i amfoteryczne środki powierzchniowo-czynne, alkohol, C12-14, </w:t>
      </w:r>
      <w:proofErr w:type="spellStart"/>
      <w:r w:rsidR="00412AC2" w:rsidRPr="00412AC2">
        <w:rPr>
          <w:lang w:eastAsia="pl-PL"/>
        </w:rPr>
        <w:t>etoksylowany</w:t>
      </w:r>
      <w:proofErr w:type="spellEnd"/>
      <w:r w:rsidR="00412AC2" w:rsidRPr="00412AC2">
        <w:rPr>
          <w:lang w:eastAsia="pl-PL"/>
        </w:rPr>
        <w:t xml:space="preserve">, siarczan, sole sodowe, 2,5-&lt;10%, alkohole, C12-14, </w:t>
      </w:r>
      <w:proofErr w:type="spellStart"/>
      <w:r w:rsidR="00412AC2" w:rsidRPr="00412AC2">
        <w:rPr>
          <w:lang w:eastAsia="pl-PL"/>
        </w:rPr>
        <w:t>etoksylowane</w:t>
      </w:r>
      <w:proofErr w:type="spellEnd"/>
      <w:r w:rsidR="00412AC2" w:rsidRPr="00412AC2">
        <w:rPr>
          <w:lang w:eastAsia="pl-PL"/>
        </w:rPr>
        <w:t xml:space="preserve"> 1-&lt;2,5%, kwas </w:t>
      </w:r>
      <w:proofErr w:type="spellStart"/>
      <w:r w:rsidR="00412AC2" w:rsidRPr="00412AC2">
        <w:rPr>
          <w:lang w:eastAsia="pl-PL"/>
        </w:rPr>
        <w:t>benzenosulfonowy</w:t>
      </w:r>
      <w:proofErr w:type="spellEnd"/>
      <w:r w:rsidR="00412AC2" w:rsidRPr="00412AC2">
        <w:rPr>
          <w:lang w:eastAsia="pl-PL"/>
        </w:rPr>
        <w:t xml:space="preserve">, pochodne C10-13-alkilu, sól sodowa 1-&lt;2,5%, barwnik. </w:t>
      </w:r>
      <w:proofErr w:type="spellStart"/>
      <w:r w:rsidR="00412AC2" w:rsidRPr="00412AC2">
        <w:rPr>
          <w:lang w:eastAsia="pl-PL"/>
        </w:rPr>
        <w:t>pH</w:t>
      </w:r>
      <w:proofErr w:type="spellEnd"/>
      <w:r w:rsidR="00412AC2" w:rsidRPr="00412AC2">
        <w:rPr>
          <w:lang w:eastAsia="pl-PL"/>
        </w:rPr>
        <w:t xml:space="preserve"> 6,5-7,5. Gęstość: 0,99 – 1,01 g/cm3. Przebadany dermatologicznie. Konfekcjonowany w opakowanie 1L?</w:t>
      </w:r>
      <w:r>
        <w:rPr>
          <w:lang w:eastAsia="pl-PL"/>
        </w:rPr>
        <w:t>”</w:t>
      </w:r>
    </w:p>
    <w:p w:rsidR="006260A1" w:rsidRDefault="006260A1" w:rsidP="00A61870">
      <w:pPr>
        <w:pStyle w:val="Bezodstpw"/>
        <w:jc w:val="both"/>
        <w:rPr>
          <w:color w:val="FF0000"/>
        </w:rPr>
      </w:pPr>
      <w:bookmarkStart w:id="29" w:name="_Hlk69820768"/>
    </w:p>
    <w:p w:rsidR="00412AC2" w:rsidRDefault="00A61870" w:rsidP="00A61870">
      <w:pPr>
        <w:pStyle w:val="Bezodstpw"/>
        <w:jc w:val="both"/>
        <w:rPr>
          <w:color w:val="FF0000"/>
        </w:rPr>
      </w:pPr>
      <w:r w:rsidRPr="00D8709C">
        <w:rPr>
          <w:color w:val="FF0000"/>
        </w:rPr>
        <w:t>Odpowiedź:</w:t>
      </w:r>
      <w:r>
        <w:rPr>
          <w:color w:val="FF0000"/>
        </w:rPr>
        <w:t xml:space="preserve"> </w:t>
      </w:r>
      <w:r w:rsidRPr="00A61870">
        <w:rPr>
          <w:color w:val="FF0000"/>
        </w:rPr>
        <w:t>Zamawiający dopuszcza. Pozostałe wymagania zgodnie z zapisami SWZ.</w:t>
      </w:r>
    </w:p>
    <w:bookmarkEnd w:id="29"/>
    <w:p w:rsidR="00A61870" w:rsidRDefault="00A61870" w:rsidP="00A61870">
      <w:pPr>
        <w:pStyle w:val="Bezodstpw"/>
        <w:jc w:val="both"/>
        <w:rPr>
          <w:rFonts w:eastAsia="Times New Roman" w:cstheme="minorHAnsi"/>
          <w:lang w:eastAsia="pl-PL"/>
        </w:rPr>
      </w:pPr>
    </w:p>
    <w:p w:rsidR="00A61870" w:rsidRPr="00A77947" w:rsidRDefault="00A61870" w:rsidP="00A61870">
      <w:pPr>
        <w:pStyle w:val="Bezodstpw"/>
        <w:rPr>
          <w:b/>
        </w:rPr>
      </w:pPr>
      <w:bookmarkStart w:id="30" w:name="_Hlk69820493"/>
      <w:r w:rsidRPr="00A77947">
        <w:rPr>
          <w:b/>
        </w:rPr>
        <w:t xml:space="preserve">Pytanie </w:t>
      </w:r>
      <w:r>
        <w:rPr>
          <w:b/>
        </w:rPr>
        <w:t>11</w:t>
      </w:r>
      <w:r w:rsidRPr="00A77947">
        <w:rPr>
          <w:b/>
        </w:rPr>
        <w:t xml:space="preserve">: </w:t>
      </w:r>
    </w:p>
    <w:bookmarkEnd w:id="30"/>
    <w:p w:rsidR="00412AC2" w:rsidRPr="00A61870" w:rsidRDefault="00A61870" w:rsidP="00A61870">
      <w:pPr>
        <w:spacing w:after="0" w:line="240" w:lineRule="auto"/>
        <w:jc w:val="both"/>
        <w:rPr>
          <w:rFonts w:eastAsia="Times New Roman" w:cstheme="minorHAnsi"/>
          <w:lang w:eastAsia="pl-PL"/>
        </w:rPr>
      </w:pPr>
      <w:r>
        <w:rPr>
          <w:rFonts w:eastAsia="Times New Roman" w:cstheme="minorHAnsi"/>
          <w:lang w:eastAsia="pl-PL"/>
        </w:rPr>
        <w:t>„</w:t>
      </w:r>
      <w:r w:rsidR="00412AC2" w:rsidRPr="00A61870">
        <w:rPr>
          <w:rFonts w:eastAsia="Times New Roman" w:cstheme="minorHAnsi"/>
          <w:lang w:eastAsia="pl-PL"/>
        </w:rPr>
        <w:t>Czy Zamawiający w Części nr 1 w pozycji nr 35 dopuści gotowy do użycia preparat przeznaczony do czyszczenia, polerowania oraz konserwacji powierzchni ze stali nierdzewnej, aluminium i stali galwanizowanej. Usuwa zabrudzenia i nadaje powierzchniom wysoki połysk oraz zapewnia ochronę przed powstaniem rdzy i procesami oksydacji (utleniania). Usuwa odciski palców, smugi i plamy. Zapobiega powtórnemu osadzaniu się zabrudzeń. Tylko do użytku profesjonalnego. Konfekcjonowany w opakowanie po 500 ml z odpowiednim przeliczeniem ilości opakowań wymaganych przez zamawiającego?</w:t>
      </w:r>
      <w:r>
        <w:rPr>
          <w:rFonts w:eastAsia="Times New Roman" w:cstheme="minorHAnsi"/>
          <w:lang w:eastAsia="pl-PL"/>
        </w:rPr>
        <w:t>”</w:t>
      </w:r>
    </w:p>
    <w:p w:rsidR="006260A1" w:rsidRDefault="006260A1" w:rsidP="00A61870">
      <w:pPr>
        <w:jc w:val="both"/>
        <w:rPr>
          <w:color w:val="FF0000"/>
        </w:rPr>
      </w:pPr>
      <w:bookmarkStart w:id="31" w:name="_Hlk69820616"/>
    </w:p>
    <w:p w:rsidR="00A61870" w:rsidRDefault="00A61870" w:rsidP="00A61870">
      <w:pPr>
        <w:jc w:val="both"/>
        <w:rPr>
          <w:color w:val="FF0000"/>
        </w:rPr>
      </w:pPr>
      <w:r w:rsidRPr="00D8709C">
        <w:rPr>
          <w:color w:val="FF0000"/>
        </w:rPr>
        <w:t>Odpowiedź:</w:t>
      </w:r>
      <w:r>
        <w:rPr>
          <w:color w:val="FF0000"/>
        </w:rPr>
        <w:t xml:space="preserve"> </w:t>
      </w:r>
      <w:bookmarkStart w:id="32" w:name="_Hlk69820600"/>
      <w:r w:rsidRPr="00A77947">
        <w:rPr>
          <w:color w:val="FF0000"/>
        </w:rPr>
        <w:t xml:space="preserve">Zamawiający </w:t>
      </w:r>
      <w:r>
        <w:rPr>
          <w:color w:val="FF0000"/>
        </w:rPr>
        <w:t xml:space="preserve">dopuszcza pod warunkiem, że zaproponowany produkt będzie dostarczany przez Wykonawcę w opakowaniu oryginalnie zamkniętym. </w:t>
      </w:r>
      <w:r w:rsidRPr="00A61870">
        <w:rPr>
          <w:color w:val="FF0000"/>
        </w:rPr>
        <w:t xml:space="preserve">Zamawiający dopuści inne ilości sztuk w opakowaniu przedmiotu zamówienia, niż wskazane w załączniku nr 4 do </w:t>
      </w:r>
      <w:proofErr w:type="spellStart"/>
      <w:r w:rsidRPr="00A61870">
        <w:rPr>
          <w:color w:val="FF0000"/>
        </w:rPr>
        <w:t>swz</w:t>
      </w:r>
      <w:proofErr w:type="spellEnd"/>
      <w:r w:rsidRPr="00A61870">
        <w:rPr>
          <w:color w:val="FF0000"/>
        </w:rPr>
        <w:t xml:space="preserve">, ale tylko po ich odpowiednim przeliczeniu w stosunku do zapotrzebowania Zamawiającego. Wykonawca jest zobowiązany samodzielnie dokonać właściwego przeliczenia i zaznaczyć to w załączniku nr 1a, 1b do </w:t>
      </w:r>
      <w:proofErr w:type="spellStart"/>
      <w:r w:rsidRPr="00A61870">
        <w:rPr>
          <w:color w:val="FF0000"/>
        </w:rPr>
        <w:t>swz</w:t>
      </w:r>
      <w:proofErr w:type="spellEnd"/>
      <w:r w:rsidRPr="00A61870">
        <w:rPr>
          <w:color w:val="FF0000"/>
        </w:rPr>
        <w:t xml:space="preserve">, który składa w swojej ofercie. Ponieważ Wykonawca nie wskazał sposobu przeliczenia oferty, Zamawiający wymaga aby wycena Wykonawcy </w:t>
      </w:r>
      <w:r w:rsidRPr="00A61870">
        <w:rPr>
          <w:b/>
          <w:color w:val="FF0000"/>
          <w:u w:val="single"/>
        </w:rPr>
        <w:t>obejmowała tylko pełne opakowania o zaproponowanej odpowiednio pojemności.</w:t>
      </w:r>
      <w:r w:rsidRPr="00A61870">
        <w:rPr>
          <w:color w:val="FF0000"/>
        </w:rPr>
        <w:t xml:space="preserve"> Nie dopuszcza dzielenia opakowań bądź też zaokrąglania ich pojemności -/+ do pełnych objętości. </w:t>
      </w:r>
      <w:bookmarkEnd w:id="31"/>
      <w:bookmarkEnd w:id="32"/>
      <w:r w:rsidR="007026BA" w:rsidRPr="007026BA">
        <w:rPr>
          <w:color w:val="FF0000"/>
        </w:rPr>
        <w:t>Zgodnie z SWZ Zamawiający wymaga: 1</w:t>
      </w:r>
      <w:r w:rsidR="007026BA">
        <w:rPr>
          <w:color w:val="FF0000"/>
        </w:rPr>
        <w:t>7</w:t>
      </w:r>
      <w:r w:rsidR="007026BA" w:rsidRPr="007026BA">
        <w:rPr>
          <w:color w:val="FF0000"/>
        </w:rPr>
        <w:t xml:space="preserve"> op. po </w:t>
      </w:r>
      <w:r w:rsidR="007026BA">
        <w:rPr>
          <w:color w:val="FF0000"/>
        </w:rPr>
        <w:t>75</w:t>
      </w:r>
      <w:r w:rsidR="007026BA" w:rsidRPr="007026BA">
        <w:rPr>
          <w:color w:val="FF0000"/>
        </w:rPr>
        <w:t xml:space="preserve">0 ml co daje łącznie </w:t>
      </w:r>
      <w:r w:rsidR="007026BA">
        <w:rPr>
          <w:color w:val="FF0000"/>
        </w:rPr>
        <w:t>12750</w:t>
      </w:r>
      <w:r w:rsidR="007026BA" w:rsidRPr="007026BA">
        <w:rPr>
          <w:color w:val="FF0000"/>
        </w:rPr>
        <w:t xml:space="preserve">,00 ml produktu. Wykonawca zaproponował produkt w opakowaniu 500 ml. Dokonując przeliczenia wynika, że  Wykonawca winien wycenić </w:t>
      </w:r>
      <w:r w:rsidR="007026BA">
        <w:rPr>
          <w:color w:val="FF0000"/>
        </w:rPr>
        <w:t xml:space="preserve">25,50 </w:t>
      </w:r>
      <w:r w:rsidR="007026BA" w:rsidRPr="007026BA">
        <w:rPr>
          <w:color w:val="FF0000"/>
        </w:rPr>
        <w:t>op. (</w:t>
      </w:r>
      <w:r w:rsidR="007026BA">
        <w:rPr>
          <w:color w:val="FF0000"/>
        </w:rPr>
        <w:t>12750</w:t>
      </w:r>
      <w:r w:rsidR="007026BA" w:rsidRPr="007026BA">
        <w:rPr>
          <w:color w:val="FF0000"/>
        </w:rPr>
        <w:t xml:space="preserve">,00 ml:500ml= </w:t>
      </w:r>
      <w:r w:rsidR="007026BA">
        <w:rPr>
          <w:color w:val="FF0000"/>
        </w:rPr>
        <w:t>25</w:t>
      </w:r>
      <w:r w:rsidR="007026BA" w:rsidRPr="007026BA">
        <w:rPr>
          <w:color w:val="FF0000"/>
        </w:rPr>
        <w:t>,</w:t>
      </w:r>
      <w:r w:rsidR="007026BA">
        <w:rPr>
          <w:color w:val="FF0000"/>
        </w:rPr>
        <w:t>5</w:t>
      </w:r>
      <w:r w:rsidR="007026BA" w:rsidRPr="007026BA">
        <w:rPr>
          <w:color w:val="FF0000"/>
        </w:rPr>
        <w:t>0 op.) zatem nie ma możliwości dokonania przeliczenia do pełnego opakowania. W związku z powyższym Zamawiający nie wyraża zgody na dokonanie przeliczenia.</w:t>
      </w:r>
    </w:p>
    <w:p w:rsidR="007026BA" w:rsidRPr="00A77947" w:rsidRDefault="007026BA" w:rsidP="007026BA">
      <w:pPr>
        <w:pStyle w:val="Bezodstpw"/>
        <w:rPr>
          <w:b/>
        </w:rPr>
      </w:pPr>
      <w:bookmarkStart w:id="33" w:name="_Hlk69820661"/>
      <w:r w:rsidRPr="00A77947">
        <w:rPr>
          <w:b/>
        </w:rPr>
        <w:t xml:space="preserve">Pytanie </w:t>
      </w:r>
      <w:r>
        <w:rPr>
          <w:b/>
        </w:rPr>
        <w:t>12</w:t>
      </w:r>
      <w:r w:rsidRPr="00A77947">
        <w:rPr>
          <w:b/>
        </w:rPr>
        <w:t xml:space="preserve">: </w:t>
      </w:r>
    </w:p>
    <w:bookmarkEnd w:id="33"/>
    <w:p w:rsidR="00412AC2" w:rsidRPr="007026BA" w:rsidRDefault="007026BA" w:rsidP="007026BA">
      <w:pPr>
        <w:spacing w:after="0" w:line="240" w:lineRule="auto"/>
        <w:jc w:val="both"/>
        <w:rPr>
          <w:rFonts w:eastAsia="Times New Roman" w:cstheme="minorHAnsi"/>
          <w:lang w:eastAsia="pl-PL"/>
        </w:rPr>
      </w:pPr>
      <w:r>
        <w:rPr>
          <w:rFonts w:eastAsia="Times New Roman" w:cstheme="minorHAnsi"/>
          <w:lang w:eastAsia="pl-PL"/>
        </w:rPr>
        <w:t>„</w:t>
      </w:r>
      <w:r w:rsidR="00412AC2" w:rsidRPr="007026BA">
        <w:rPr>
          <w:rFonts w:eastAsia="Times New Roman" w:cstheme="minorHAnsi"/>
          <w:lang w:eastAsia="pl-PL"/>
        </w:rPr>
        <w:t xml:space="preserve">Czy Zamawiający w Części nr 1 w pozycji nr 36 dopuści preparat do mycia szyb, luster oraz innych powierzchni szklanych. Szybko wysychający i skutecznie myjący bez pozostawiania smug. Pozostawiający przyjemny, morski zapach. Posiadający właściwości antystatyczne. Pozostawiający powłokę ochronną zabezpieczającą umytą powierzchnię przed osadzaniem się brudu. Gotowy do użycia. Opakowanie z pompką </w:t>
      </w:r>
      <w:proofErr w:type="spellStart"/>
      <w:r w:rsidR="00412AC2" w:rsidRPr="007026BA">
        <w:rPr>
          <w:rFonts w:eastAsia="Times New Roman" w:cstheme="minorHAnsi"/>
          <w:lang w:eastAsia="pl-PL"/>
        </w:rPr>
        <w:t>samospieniającą</w:t>
      </w:r>
      <w:proofErr w:type="spellEnd"/>
      <w:r w:rsidR="00412AC2" w:rsidRPr="007026BA">
        <w:rPr>
          <w:rFonts w:eastAsia="Times New Roman" w:cstheme="minorHAnsi"/>
          <w:lang w:eastAsia="pl-PL"/>
        </w:rPr>
        <w:t xml:space="preserve"> ułatwiającą aplikację preparatu. Zawierający w składzie: Propan-2-ol. </w:t>
      </w:r>
      <w:proofErr w:type="spellStart"/>
      <w:r w:rsidR="00412AC2" w:rsidRPr="007026BA">
        <w:rPr>
          <w:rFonts w:eastAsia="Times New Roman" w:cstheme="minorHAnsi"/>
          <w:lang w:eastAsia="pl-PL"/>
        </w:rPr>
        <w:t>pH</w:t>
      </w:r>
      <w:proofErr w:type="spellEnd"/>
      <w:r w:rsidR="00412AC2" w:rsidRPr="007026BA">
        <w:rPr>
          <w:rFonts w:eastAsia="Times New Roman" w:cstheme="minorHAnsi"/>
          <w:lang w:eastAsia="pl-PL"/>
        </w:rPr>
        <w:t xml:space="preserve"> 8 - 9. Gęstość 990 - 1010 kg/m³. Konfekcjonowany w opakowanie 500 ml z odpowiednim przeliczeniem ilości opakowań?</w:t>
      </w:r>
      <w:r>
        <w:rPr>
          <w:rFonts w:eastAsia="Times New Roman" w:cstheme="minorHAnsi"/>
          <w:lang w:eastAsia="pl-PL"/>
        </w:rPr>
        <w:t>”</w:t>
      </w:r>
    </w:p>
    <w:p w:rsidR="006260A1" w:rsidRDefault="006260A1" w:rsidP="007026BA">
      <w:pPr>
        <w:jc w:val="both"/>
        <w:rPr>
          <w:color w:val="FF0000"/>
        </w:rPr>
      </w:pPr>
    </w:p>
    <w:p w:rsidR="00412AC2" w:rsidRDefault="007026BA" w:rsidP="007026BA">
      <w:pPr>
        <w:jc w:val="both"/>
        <w:rPr>
          <w:color w:val="FF0000"/>
        </w:rPr>
      </w:pPr>
      <w:r w:rsidRPr="00D8709C">
        <w:rPr>
          <w:color w:val="FF0000"/>
        </w:rPr>
        <w:t>Odpowiedź:</w:t>
      </w:r>
      <w:r>
        <w:rPr>
          <w:color w:val="FF0000"/>
        </w:rPr>
        <w:t xml:space="preserve"> </w:t>
      </w:r>
      <w:r w:rsidRPr="00A77947">
        <w:rPr>
          <w:color w:val="FF0000"/>
        </w:rPr>
        <w:t xml:space="preserve">Zamawiający </w:t>
      </w:r>
      <w:r>
        <w:rPr>
          <w:color w:val="FF0000"/>
        </w:rPr>
        <w:t xml:space="preserve">dopuszcza pod warunkiem, że zaproponowany produkt będzie dostarczany przez Wykonawcę w opakowaniu oryginalnie zamkniętym. </w:t>
      </w:r>
      <w:bookmarkStart w:id="34" w:name="_Hlk69820829"/>
      <w:r w:rsidRPr="00A61870">
        <w:rPr>
          <w:color w:val="FF0000"/>
        </w:rPr>
        <w:t xml:space="preserve">Zamawiający dopuści inne ilości sztuk w opakowaniu przedmiotu zamówienia, niż wskazane w załączniku nr 4 do </w:t>
      </w:r>
      <w:proofErr w:type="spellStart"/>
      <w:r w:rsidRPr="00A61870">
        <w:rPr>
          <w:color w:val="FF0000"/>
        </w:rPr>
        <w:t>swz</w:t>
      </w:r>
      <w:proofErr w:type="spellEnd"/>
      <w:r w:rsidRPr="00A61870">
        <w:rPr>
          <w:color w:val="FF0000"/>
        </w:rPr>
        <w:t xml:space="preserve">, ale tylko po ich odpowiednim przeliczeniu w stosunku do zapotrzebowania Zamawiającego. Wykonawca jest zobowiązany samodzielnie dokonać właściwego przeliczenia i zaznaczyć to w załączniku nr 1a, 1b do </w:t>
      </w:r>
      <w:proofErr w:type="spellStart"/>
      <w:r w:rsidRPr="00A61870">
        <w:rPr>
          <w:color w:val="FF0000"/>
        </w:rPr>
        <w:t>swz</w:t>
      </w:r>
      <w:proofErr w:type="spellEnd"/>
      <w:r w:rsidRPr="00A61870">
        <w:rPr>
          <w:color w:val="FF0000"/>
        </w:rPr>
        <w:t xml:space="preserve">, który składa w swojej ofercie. Ponieważ Wykonawca nie wskazał sposobu przeliczenia oferty, Zamawiający wymaga aby wycena Wykonawcy </w:t>
      </w:r>
      <w:r w:rsidRPr="00A61870">
        <w:rPr>
          <w:b/>
          <w:color w:val="FF0000"/>
          <w:u w:val="single"/>
        </w:rPr>
        <w:t>obejmowała tylko pełne opakowania o zaproponowanej odpowiednio pojemności.</w:t>
      </w:r>
      <w:r w:rsidRPr="00A61870">
        <w:rPr>
          <w:color w:val="FF0000"/>
        </w:rPr>
        <w:t xml:space="preserve"> Nie dopuszcza dzielenia opakowań bądź też zaokrąglania ich pojemności -/+ do pełnych objętości.</w:t>
      </w:r>
      <w:bookmarkEnd w:id="34"/>
    </w:p>
    <w:p w:rsidR="007026BA" w:rsidRPr="00A77947" w:rsidRDefault="007026BA" w:rsidP="007026BA">
      <w:pPr>
        <w:pStyle w:val="Bezodstpw"/>
        <w:rPr>
          <w:b/>
        </w:rPr>
      </w:pPr>
      <w:bookmarkStart w:id="35" w:name="_Hlk69820716"/>
      <w:r w:rsidRPr="00A77947">
        <w:rPr>
          <w:b/>
        </w:rPr>
        <w:t xml:space="preserve">Pytanie </w:t>
      </w:r>
      <w:r>
        <w:rPr>
          <w:b/>
        </w:rPr>
        <w:t>13</w:t>
      </w:r>
      <w:r w:rsidRPr="00A77947">
        <w:rPr>
          <w:b/>
        </w:rPr>
        <w:t xml:space="preserve">: </w:t>
      </w:r>
    </w:p>
    <w:bookmarkEnd w:id="35"/>
    <w:p w:rsidR="00412AC2" w:rsidRDefault="007026BA" w:rsidP="007026BA">
      <w:pPr>
        <w:spacing w:after="0" w:line="240" w:lineRule="auto"/>
        <w:jc w:val="both"/>
        <w:rPr>
          <w:rFonts w:eastAsia="Times New Roman" w:cstheme="minorHAnsi"/>
          <w:lang w:eastAsia="pl-PL"/>
        </w:rPr>
      </w:pPr>
      <w:r>
        <w:rPr>
          <w:rFonts w:eastAsia="Times New Roman" w:cstheme="minorHAnsi"/>
          <w:lang w:eastAsia="pl-PL"/>
        </w:rPr>
        <w:t>„</w:t>
      </w:r>
      <w:r w:rsidR="00412AC2" w:rsidRPr="007026BA">
        <w:rPr>
          <w:rFonts w:eastAsia="Times New Roman" w:cstheme="minorHAnsi"/>
          <w:lang w:eastAsia="pl-PL"/>
        </w:rPr>
        <w:t>Czy Zamawiający w Części nr 1 w pozycji nr 38 dopuści ściereczkę z mikrofazy ogólnego zastosowania przeznaczona do mycia i dezynfekcji wszelkich powierzchni zmywalnych takich jak blaty, lustra, szyby, meble biurowe, sprzęt komputerowy. Skład: poliester (80%), poliamid (20%); wymiary 40x40 cm; gramatura 220g/m2; 300 cykli prań; w kolorach: niebieski, czerwony, żółty, zielony; możliwość prania w temperaturze 60 stopni C; Absorbuje do 8 razy więcej wody niż sama waży?</w:t>
      </w:r>
      <w:r>
        <w:rPr>
          <w:rFonts w:eastAsia="Times New Roman" w:cstheme="minorHAnsi"/>
          <w:lang w:eastAsia="pl-PL"/>
        </w:rPr>
        <w:t>”</w:t>
      </w:r>
    </w:p>
    <w:p w:rsidR="006260A1" w:rsidRDefault="006260A1" w:rsidP="007026BA">
      <w:pPr>
        <w:pStyle w:val="Bezodstpw"/>
        <w:rPr>
          <w:color w:val="FF0000"/>
        </w:rPr>
      </w:pPr>
      <w:bookmarkStart w:id="36" w:name="_Hlk69821133"/>
    </w:p>
    <w:p w:rsidR="006260A1" w:rsidRPr="006260A1" w:rsidRDefault="007026BA" w:rsidP="006260A1">
      <w:pPr>
        <w:pStyle w:val="Bezodstpw"/>
        <w:rPr>
          <w:color w:val="FF0000"/>
        </w:rPr>
      </w:pPr>
      <w:r w:rsidRPr="00D8709C">
        <w:rPr>
          <w:color w:val="FF0000"/>
        </w:rPr>
        <w:t>Odpowiedź:</w:t>
      </w:r>
      <w:r>
        <w:rPr>
          <w:color w:val="FF0000"/>
        </w:rPr>
        <w:t xml:space="preserve"> </w:t>
      </w:r>
      <w:r w:rsidRPr="00A77947">
        <w:rPr>
          <w:color w:val="FF0000"/>
        </w:rPr>
        <w:t>Zamawiający wymaga zgodnie z zapisami SW</w:t>
      </w:r>
      <w:bookmarkEnd w:id="36"/>
    </w:p>
    <w:p w:rsidR="007026BA" w:rsidRPr="00A77947" w:rsidRDefault="007026BA" w:rsidP="007026BA">
      <w:pPr>
        <w:pStyle w:val="Bezodstpw"/>
        <w:rPr>
          <w:b/>
        </w:rPr>
      </w:pPr>
      <w:r w:rsidRPr="00A77947">
        <w:rPr>
          <w:b/>
        </w:rPr>
        <w:t xml:space="preserve">Pytanie </w:t>
      </w:r>
      <w:r>
        <w:rPr>
          <w:b/>
        </w:rPr>
        <w:t>14</w:t>
      </w:r>
      <w:r w:rsidRPr="00A77947">
        <w:rPr>
          <w:b/>
        </w:rPr>
        <w:t xml:space="preserve">: </w:t>
      </w:r>
    </w:p>
    <w:p w:rsidR="00412AC2" w:rsidRPr="007026BA" w:rsidRDefault="007026BA" w:rsidP="007026BA">
      <w:pPr>
        <w:spacing w:after="0" w:line="240" w:lineRule="auto"/>
        <w:jc w:val="both"/>
        <w:rPr>
          <w:rFonts w:eastAsia="Times New Roman" w:cstheme="minorHAnsi"/>
          <w:lang w:eastAsia="pl-PL"/>
        </w:rPr>
      </w:pPr>
      <w:r>
        <w:rPr>
          <w:rFonts w:eastAsia="Times New Roman" w:cstheme="minorHAnsi"/>
          <w:lang w:eastAsia="pl-PL"/>
        </w:rPr>
        <w:t>„</w:t>
      </w:r>
      <w:r w:rsidR="00412AC2" w:rsidRPr="007026BA">
        <w:rPr>
          <w:rFonts w:eastAsia="Times New Roman" w:cstheme="minorHAnsi"/>
          <w:lang w:eastAsia="pl-PL"/>
        </w:rPr>
        <w:t xml:space="preserve">Czy Zamawiający w Części nr 1 w pozycji nr 39 dopuści ściereczkę z mikrofazy ogólnego zastosowania przeznaczona do mycia i dezynfekcji wszelkich powierzchni zmywalnych takich jak blaty, lustra, szyby, meble biurowe, sprzęt komputerowy. Skład: poliester (80%), poliamid (20%); wymiary 40x40 cm; gramatura 220g/m2; 300 cykli prań; w kolorach: niebieski, czerwony, żółty, zielony; możliwość prania w temperaturze 60 stopni C; Absorbuje do 8 razy więcej wody niż sama waży. Ściereczki pakowane po 5 </w:t>
      </w:r>
      <w:proofErr w:type="spellStart"/>
      <w:r w:rsidR="00412AC2" w:rsidRPr="007026BA">
        <w:rPr>
          <w:rFonts w:eastAsia="Times New Roman" w:cstheme="minorHAnsi"/>
          <w:lang w:eastAsia="pl-PL"/>
        </w:rPr>
        <w:t>szt</w:t>
      </w:r>
      <w:proofErr w:type="spellEnd"/>
      <w:r w:rsidR="00412AC2" w:rsidRPr="007026BA">
        <w:rPr>
          <w:rFonts w:eastAsia="Times New Roman" w:cstheme="minorHAnsi"/>
          <w:lang w:eastAsia="pl-PL"/>
        </w:rPr>
        <w:t>, z odpowiednim przeliczeniem ilości opakowań?</w:t>
      </w:r>
    </w:p>
    <w:p w:rsidR="006260A1" w:rsidRDefault="006260A1" w:rsidP="007026BA">
      <w:pPr>
        <w:pStyle w:val="Bezodstpw"/>
        <w:jc w:val="both"/>
        <w:rPr>
          <w:color w:val="FF0000"/>
        </w:rPr>
      </w:pPr>
    </w:p>
    <w:p w:rsidR="007026BA" w:rsidRDefault="007026BA" w:rsidP="007026BA">
      <w:pPr>
        <w:pStyle w:val="Bezodstpw"/>
        <w:jc w:val="both"/>
        <w:rPr>
          <w:color w:val="FF0000"/>
        </w:rPr>
      </w:pPr>
      <w:r w:rsidRPr="00D8709C">
        <w:rPr>
          <w:color w:val="FF0000"/>
        </w:rPr>
        <w:t>Odpowiedź:</w:t>
      </w:r>
      <w:r>
        <w:rPr>
          <w:color w:val="FF0000"/>
        </w:rPr>
        <w:t xml:space="preserve"> </w:t>
      </w:r>
      <w:r w:rsidRPr="00A61870">
        <w:rPr>
          <w:color w:val="FF0000"/>
        </w:rPr>
        <w:t xml:space="preserve">Zamawiający dopuszcza. </w:t>
      </w:r>
      <w:r w:rsidR="00646101">
        <w:rPr>
          <w:color w:val="FF0000"/>
        </w:rPr>
        <w:t xml:space="preserve">Wykonawca winien wycenić w ofercie 60 szt. ściereczek  lub 12 op. po 5 szt. </w:t>
      </w:r>
    </w:p>
    <w:p w:rsidR="00646101" w:rsidRDefault="00646101" w:rsidP="00646101">
      <w:pPr>
        <w:pStyle w:val="Bezodstpw"/>
        <w:rPr>
          <w:b/>
        </w:rPr>
      </w:pPr>
    </w:p>
    <w:p w:rsidR="00646101" w:rsidRPr="00A77947" w:rsidRDefault="00646101" w:rsidP="00646101">
      <w:pPr>
        <w:pStyle w:val="Bezodstpw"/>
        <w:rPr>
          <w:b/>
        </w:rPr>
      </w:pPr>
      <w:r w:rsidRPr="00A77947">
        <w:rPr>
          <w:b/>
        </w:rPr>
        <w:t xml:space="preserve">Pytanie </w:t>
      </w:r>
      <w:r>
        <w:rPr>
          <w:b/>
        </w:rPr>
        <w:t>15</w:t>
      </w:r>
      <w:r w:rsidRPr="00A77947">
        <w:rPr>
          <w:b/>
        </w:rPr>
        <w:t xml:space="preserve">: </w:t>
      </w:r>
    </w:p>
    <w:p w:rsidR="00412AC2" w:rsidRPr="00646101" w:rsidRDefault="00646101" w:rsidP="00646101">
      <w:pPr>
        <w:spacing w:after="0" w:line="240" w:lineRule="auto"/>
        <w:jc w:val="both"/>
        <w:rPr>
          <w:rFonts w:eastAsia="Times New Roman" w:cstheme="minorHAnsi"/>
          <w:lang w:eastAsia="pl-PL"/>
        </w:rPr>
      </w:pPr>
      <w:r>
        <w:rPr>
          <w:rFonts w:eastAsia="Times New Roman" w:cstheme="minorHAnsi"/>
          <w:lang w:eastAsia="pl-PL"/>
        </w:rPr>
        <w:t>„</w:t>
      </w:r>
      <w:r w:rsidR="00412AC2" w:rsidRPr="00646101">
        <w:rPr>
          <w:rFonts w:eastAsia="Times New Roman" w:cstheme="minorHAnsi"/>
          <w:lang w:eastAsia="pl-PL"/>
        </w:rPr>
        <w:t xml:space="preserve">Czy Zamawiający w Części nr 1 w pozycji nr 47 dopuści </w:t>
      </w:r>
      <w:r w:rsidR="00412AC2" w:rsidRPr="00646101">
        <w:rPr>
          <w:rFonts w:eastAsia="Times New Roman" w:cstheme="minorHAnsi"/>
          <w:color w:val="000000"/>
          <w:lang w:eastAsia="pl-PL"/>
        </w:rPr>
        <w:t>suche ściereczki przeznaczone do nasączania preparatem gotowym do użycia lub roztworem użytkowym koncentratu z wodą. Do mycia i dezynfekcji różnych powierzchni nieinwazyjnych wyrobów medycznych. Porowata struktura o gramaturze min. 45g/m2. Niepylące, niestrzępiące się, wytrzymałe i odporne na detergenty. Wymiary: 16 x 30 cm, pozwala na efektywne wykorzystanie w ciągu 30 dni (czas przechowywania roztworu). Perforacja ułatwiająca odrywanie. Chusteczki - Wyrób medyczny klasy 1. Skład: polipropylen (50%) i celuloza (50%). Każda z rolek posiada etykietę oraz naklejkę, na której jest miejsce na wpisanie: nazwy produktu nasączającego, stężenia, daty nasączenia, daty przydatności oraz osoby przygotowującej roztwór. Rolka zamknięta w wiaderku  z HDPE o wysokiej odporności na chemikalia, ze szczelnym zamknięciem. Konfekcjonowane w opakowanie wkład po 100szt z odpowiednim przeliczeniem ilości opakowań?</w:t>
      </w:r>
    </w:p>
    <w:p w:rsidR="006260A1" w:rsidRDefault="006260A1" w:rsidP="00646101">
      <w:pPr>
        <w:pStyle w:val="Bezodstpw"/>
        <w:rPr>
          <w:color w:val="FF0000"/>
        </w:rPr>
      </w:pPr>
      <w:bookmarkStart w:id="37" w:name="_Hlk69821188"/>
    </w:p>
    <w:p w:rsidR="00646101" w:rsidRDefault="00646101" w:rsidP="00646101">
      <w:pPr>
        <w:pStyle w:val="Bezodstpw"/>
        <w:rPr>
          <w:color w:val="FF0000"/>
        </w:rPr>
      </w:pPr>
      <w:r w:rsidRPr="00D8709C">
        <w:rPr>
          <w:color w:val="FF0000"/>
        </w:rPr>
        <w:t>Odpowiedź:</w:t>
      </w:r>
      <w:r>
        <w:rPr>
          <w:color w:val="FF0000"/>
        </w:rPr>
        <w:t xml:space="preserve"> </w:t>
      </w:r>
      <w:r w:rsidRPr="00A77947">
        <w:rPr>
          <w:color w:val="FF0000"/>
        </w:rPr>
        <w:t xml:space="preserve">Zamawiający </w:t>
      </w:r>
      <w:r>
        <w:rPr>
          <w:color w:val="FF0000"/>
        </w:rPr>
        <w:t xml:space="preserve">nie dopuszcza, </w:t>
      </w:r>
      <w:r w:rsidRPr="00A77947">
        <w:rPr>
          <w:color w:val="FF0000"/>
        </w:rPr>
        <w:t>wymaga zgodnie z zapisami SWZ.</w:t>
      </w:r>
    </w:p>
    <w:bookmarkEnd w:id="37"/>
    <w:p w:rsidR="00646101" w:rsidRDefault="00646101" w:rsidP="00646101">
      <w:pPr>
        <w:pStyle w:val="Bezodstpw"/>
        <w:rPr>
          <w:b/>
        </w:rPr>
      </w:pPr>
    </w:p>
    <w:p w:rsidR="00646101" w:rsidRPr="00A77947" w:rsidRDefault="00646101" w:rsidP="00646101">
      <w:pPr>
        <w:pStyle w:val="Bezodstpw"/>
        <w:rPr>
          <w:b/>
        </w:rPr>
      </w:pPr>
      <w:r w:rsidRPr="00A77947">
        <w:rPr>
          <w:b/>
        </w:rPr>
        <w:t xml:space="preserve">Pytanie </w:t>
      </w:r>
      <w:r>
        <w:rPr>
          <w:b/>
        </w:rPr>
        <w:t>16</w:t>
      </w:r>
      <w:r w:rsidRPr="00A77947">
        <w:rPr>
          <w:b/>
        </w:rPr>
        <w:t xml:space="preserve">: </w:t>
      </w:r>
    </w:p>
    <w:p w:rsidR="00412AC2" w:rsidRPr="00646101" w:rsidRDefault="00646101" w:rsidP="00646101">
      <w:pPr>
        <w:spacing w:after="0" w:line="240" w:lineRule="auto"/>
        <w:jc w:val="both"/>
        <w:rPr>
          <w:rFonts w:eastAsia="Times New Roman" w:cstheme="minorHAnsi"/>
          <w:lang w:eastAsia="pl-PL"/>
        </w:rPr>
      </w:pPr>
      <w:r>
        <w:rPr>
          <w:rFonts w:eastAsia="Times New Roman" w:cstheme="minorHAnsi"/>
          <w:lang w:eastAsia="pl-PL"/>
        </w:rPr>
        <w:t>„</w:t>
      </w:r>
      <w:r w:rsidR="00412AC2" w:rsidRPr="00646101">
        <w:rPr>
          <w:rFonts w:eastAsia="Times New Roman" w:cstheme="minorHAnsi"/>
          <w:lang w:eastAsia="pl-PL"/>
        </w:rPr>
        <w:t>Czy Zamawiający w Części nr 1 w pozycji nr 48 dopuści Wiaderko wielokrotnego użytku kompatybilne z pozycją nr 47?</w:t>
      </w:r>
      <w:r>
        <w:rPr>
          <w:rFonts w:eastAsia="Times New Roman" w:cstheme="minorHAnsi"/>
          <w:lang w:eastAsia="pl-PL"/>
        </w:rPr>
        <w:t>”</w:t>
      </w:r>
    </w:p>
    <w:p w:rsidR="006260A1" w:rsidRDefault="006260A1" w:rsidP="00646101">
      <w:pPr>
        <w:pStyle w:val="Bezodstpw"/>
        <w:rPr>
          <w:color w:val="FF0000"/>
        </w:rPr>
      </w:pPr>
    </w:p>
    <w:p w:rsidR="00646101" w:rsidRDefault="00646101" w:rsidP="00646101">
      <w:pPr>
        <w:pStyle w:val="Bezodstpw"/>
        <w:rPr>
          <w:color w:val="FF0000"/>
        </w:rPr>
      </w:pPr>
      <w:r w:rsidRPr="00D8709C">
        <w:rPr>
          <w:color w:val="FF0000"/>
        </w:rPr>
        <w:t>Odpowiedź:</w:t>
      </w:r>
      <w:r>
        <w:rPr>
          <w:color w:val="FF0000"/>
        </w:rPr>
        <w:t xml:space="preserve"> </w:t>
      </w:r>
      <w:r w:rsidRPr="00A77947">
        <w:rPr>
          <w:color w:val="FF0000"/>
        </w:rPr>
        <w:t xml:space="preserve">Zamawiający </w:t>
      </w:r>
      <w:r>
        <w:rPr>
          <w:color w:val="FF0000"/>
        </w:rPr>
        <w:t xml:space="preserve">nie dopuszcza, </w:t>
      </w:r>
      <w:r w:rsidRPr="00A77947">
        <w:rPr>
          <w:color w:val="FF0000"/>
        </w:rPr>
        <w:t>wymaga zgodnie z zapisami SWZ.</w:t>
      </w:r>
    </w:p>
    <w:p w:rsidR="00646101" w:rsidRDefault="00646101" w:rsidP="00646101">
      <w:pPr>
        <w:pStyle w:val="Bezodstpw"/>
        <w:rPr>
          <w:b/>
        </w:rPr>
      </w:pPr>
    </w:p>
    <w:p w:rsidR="00646101" w:rsidRPr="00A77947" w:rsidRDefault="00646101" w:rsidP="00646101">
      <w:pPr>
        <w:pStyle w:val="Bezodstpw"/>
        <w:rPr>
          <w:b/>
        </w:rPr>
      </w:pPr>
      <w:r w:rsidRPr="00A77947">
        <w:rPr>
          <w:b/>
        </w:rPr>
        <w:t xml:space="preserve">Pytanie </w:t>
      </w:r>
      <w:r>
        <w:rPr>
          <w:b/>
        </w:rPr>
        <w:t>17</w:t>
      </w:r>
      <w:r w:rsidRPr="00A77947">
        <w:rPr>
          <w:b/>
        </w:rPr>
        <w:t xml:space="preserve">: </w:t>
      </w:r>
    </w:p>
    <w:p w:rsidR="00412AC2" w:rsidRPr="00646101" w:rsidRDefault="00646101" w:rsidP="00646101">
      <w:pPr>
        <w:spacing w:after="0" w:line="240" w:lineRule="auto"/>
        <w:jc w:val="both"/>
        <w:rPr>
          <w:rFonts w:eastAsia="Times New Roman" w:cstheme="minorHAnsi"/>
          <w:lang w:eastAsia="pl-PL"/>
        </w:rPr>
      </w:pPr>
      <w:r>
        <w:rPr>
          <w:rFonts w:eastAsia="Times New Roman" w:cstheme="minorHAnsi"/>
          <w:lang w:eastAsia="pl-PL"/>
        </w:rPr>
        <w:t>„</w:t>
      </w:r>
      <w:r w:rsidR="00412AC2" w:rsidRPr="00646101">
        <w:rPr>
          <w:rFonts w:cstheme="minorHAnsi"/>
        </w:rPr>
        <w:t>Prosimy o wydzielenie z Części nr 1 poz. nr 2, 23, 25, 27, 28, 29, 30, 31, 32, 33, 34, 35, 36, 37, 38, 39, 47, 48 i utworzenie odrębnego pakietu na podstawie art. 91 ust. 1 ustawy z dnia 11 września 2019 r Prawo Zamówień Publicznych (dalej ustawa „ustawy PZP”). Powyższa zmiana umożliwi złożenie oferty większej ilości Wykonawców a Zamawiającemu wybranie oferty najbardziej korzystnej cenowo.</w:t>
      </w:r>
    </w:p>
    <w:p w:rsidR="00412AC2" w:rsidRPr="00646101" w:rsidRDefault="00412AC2" w:rsidP="00646101">
      <w:pPr>
        <w:jc w:val="both"/>
        <w:rPr>
          <w:rFonts w:cstheme="minorHAnsi"/>
        </w:rPr>
      </w:pPr>
      <w:r w:rsidRPr="00646101">
        <w:rPr>
          <w:rFonts w:cstheme="minorHAnsi"/>
        </w:rPr>
        <w:t>Zgodnie z zasadą konkurencyjności, jeżeli Zamawiający nie zdecyduje się na podział zamówienia na części, to jest zobligowany do wskazania w dokumentach zamówienia powodów niedokonania podziału na części konkretnego zamówienia.</w:t>
      </w:r>
    </w:p>
    <w:p w:rsidR="00412AC2" w:rsidRPr="00646101" w:rsidRDefault="00412AC2" w:rsidP="00646101">
      <w:pPr>
        <w:jc w:val="both"/>
        <w:rPr>
          <w:rFonts w:cstheme="minorHAnsi"/>
        </w:rPr>
      </w:pPr>
      <w:r w:rsidRPr="00646101">
        <w:rPr>
          <w:rFonts w:cstheme="minorHAnsi"/>
        </w:rPr>
        <w:t xml:space="preserve">Opisane wyżej uprawnienie Zamawiającego do podziału zamówienia na odrębne pakiety w określonych okolicznościach staje się w określonych okolicznościach obowiązkiem.  </w:t>
      </w:r>
    </w:p>
    <w:p w:rsidR="00412AC2" w:rsidRPr="00646101" w:rsidRDefault="00412AC2" w:rsidP="00646101">
      <w:pPr>
        <w:jc w:val="both"/>
        <w:rPr>
          <w:rFonts w:cstheme="minorHAnsi"/>
        </w:rPr>
      </w:pPr>
      <w:r w:rsidRPr="00646101">
        <w:rPr>
          <w:rFonts w:cstheme="minorHAnsi"/>
        </w:rPr>
        <w:t>W ocenie Wykonawcy w przedmiotowym przypadku, Zamawiający ma obowiązek podziału zamówienia na odrębne pakiety.</w:t>
      </w:r>
    </w:p>
    <w:p w:rsidR="00412AC2" w:rsidRPr="00646101" w:rsidRDefault="00412AC2" w:rsidP="00646101">
      <w:pPr>
        <w:jc w:val="both"/>
        <w:rPr>
          <w:rFonts w:cstheme="minorHAnsi"/>
        </w:rPr>
      </w:pPr>
      <w:r w:rsidRPr="00646101">
        <w:rPr>
          <w:rFonts w:cstheme="minorHAnsi"/>
        </w:rPr>
        <w:t>W świetle opinii Urzędu Zamówień Publicznych „Decyzja co do podziału zamówienia na określoną ilość części należy do zamawiającego. Zamawiający podejmuje ją w zależności od swoich potrzeb, jednakże jego swoboda jest ograniczona zasadą zachowania uczciwej konkurencji. (…) Prawidłowość postępowania zamawiającego, który nie dokonał podziału zamówienia na tyle części, na ile jest to potencjalnie możliwe, oceniana musi być każdorazowo przy uwzględnieniu całokształtu okoliczności sprawy.” (https://www.uzp.gov.pl/baza-wiedzy/interpretacja-przepisow/pytania-i-odpowiedzi--dotyczace-nowelizacji-ustawy-prawo-zamowien-publicznych/podzial-zamowienia-na-czesci).</w:t>
      </w:r>
    </w:p>
    <w:p w:rsidR="00412AC2" w:rsidRPr="00646101" w:rsidRDefault="00412AC2" w:rsidP="00646101">
      <w:pPr>
        <w:jc w:val="both"/>
        <w:rPr>
          <w:rFonts w:cstheme="minorHAnsi"/>
        </w:rPr>
      </w:pPr>
      <w:r w:rsidRPr="00646101">
        <w:rPr>
          <w:rFonts w:cstheme="minorHAnsi"/>
        </w:rPr>
        <w:t>Dodatkowo, zgodnie z motywem 78 preambuły Dyrektywa Parlamentu Europejskiego i Rady 2014/24/UE z dnia 26 lutego 2014 r. w sprawie zamówień publicznych, (dalej zwanej jako „Dyrektywa”) zamówienia publiczne powinny być dostosowane do potrzeb MŚP. Instytucje zamawiające należy zachęcać do korzystania z kodeksu najlepszych praktyk określonego w dokumencie roboczym służb Komisji z dnia 25 czerwca 2008 r. zatytułowanym „Europejski kodeks najlepszych praktyk ułatwiających dostęp MŚP do zamówień publicznych”, zawierającego wytyczne mówiące o tym, w jaki sposób instytucje te mogą stosować ramy zamówień publicznych, aby ułatwić udział MŚP. W tym celu oraz aby zwiększyć konkurencję, instytucje zamawiające należy w szczególności zachęcać do dzielenia dużych zamówień na części.</w:t>
      </w:r>
    </w:p>
    <w:p w:rsidR="00412AC2" w:rsidRPr="00646101" w:rsidRDefault="00412AC2" w:rsidP="00646101">
      <w:pPr>
        <w:jc w:val="both"/>
        <w:rPr>
          <w:rFonts w:cstheme="minorHAnsi"/>
        </w:rPr>
      </w:pPr>
      <w:r w:rsidRPr="00646101">
        <w:rPr>
          <w:rFonts w:cstheme="minorHAnsi"/>
        </w:rPr>
        <w:t>Podziału takiego można dokonać na zasadzie ilościowej, tak by wielkość poszczególnych zamówień lepiej odpowiadała możliwościom MŚP, lub na zasadzie jakościowej, z uwzględnieniem rożnych zaangażowanych branż i specjalizacji, tak by w większym stopniu dostosować treść poszczególnych zamówień do wyspecjalizowanych sektorów MŚP, lub według rożnych kolejnych etapów projektu.</w:t>
      </w:r>
    </w:p>
    <w:p w:rsidR="00412AC2" w:rsidRPr="00646101" w:rsidRDefault="00412AC2" w:rsidP="00646101">
      <w:pPr>
        <w:jc w:val="both"/>
        <w:rPr>
          <w:rFonts w:cstheme="minorHAnsi"/>
        </w:rPr>
      </w:pPr>
      <w:r w:rsidRPr="00646101">
        <w:rPr>
          <w:rFonts w:cstheme="minorHAnsi"/>
        </w:rPr>
        <w:t>W świetle art. 42 ust. 2 Dyrektywy  „Specyfikacje techniczne zapewniają równy dostęp wykonawców do postępowania o udzielenie zamówienia i nie tworzą nieuzasadnionych przeszkód dla otwarcia zamówienia publicznego na konkurencję.”</w:t>
      </w:r>
    </w:p>
    <w:p w:rsidR="00412AC2" w:rsidRPr="00646101" w:rsidRDefault="00412AC2" w:rsidP="00646101">
      <w:pPr>
        <w:jc w:val="both"/>
        <w:rPr>
          <w:rFonts w:cstheme="minorHAnsi"/>
        </w:rPr>
      </w:pPr>
      <w:r w:rsidRPr="00646101">
        <w:rPr>
          <w:rFonts w:cstheme="minorHAnsi"/>
        </w:rPr>
        <w:t xml:space="preserve">W celu wzmocnienia przedstawionej argumentacji warto przywołać tutaj wyrok Krajowej Izby Odwoławczej, o sygnaturze KIO 967/18 z dnia 1 czerwca 2018 r.  „Naruszeniem zasady uczciwej konkurencji jest nie tylko opis przedmiotu zamówienia wskazujący na jeden konkretny produkt lub wykonawcę, ale także taki opis, który umożliwia dostęp do zamówienia kilku wykonawcom, jednocześnie uniemożliwiając go w sposób nieuzasadniony innym, którzy również byliby w stanie wykonać dane zamówienie. Oznacza to, że w przypadku oceny konkretnego stanu faktycznego jako naruszenia zakazu sformułowanego w art. 29 ust. 2 </w:t>
      </w:r>
      <w:proofErr w:type="spellStart"/>
      <w:r w:rsidRPr="00646101">
        <w:rPr>
          <w:rFonts w:cstheme="minorHAnsi"/>
        </w:rPr>
        <w:t>p.z.p</w:t>
      </w:r>
      <w:proofErr w:type="spellEnd"/>
      <w:r w:rsidRPr="00646101">
        <w:rPr>
          <w:rFonts w:cstheme="minorHAnsi"/>
        </w:rPr>
        <w:t xml:space="preserve">. wystarczające jest uprawdopodobnienie utrudnienia konkurencji przy opisie przedmiotu zamówienia. Sporządzony przez zamawiającego opis przedmiotu zamówienia powinien tym samym w maksymalnym stopniu zapewniać zachowanie zasad uczciwej konkurencji i równego dostępu do zamówienia, wyrażonych w art. 7 ust. 1 </w:t>
      </w:r>
      <w:proofErr w:type="spellStart"/>
      <w:r w:rsidRPr="00646101">
        <w:rPr>
          <w:rFonts w:cstheme="minorHAnsi"/>
        </w:rPr>
        <w:t>p.z.p</w:t>
      </w:r>
      <w:proofErr w:type="spellEnd"/>
      <w:r w:rsidRPr="00646101">
        <w:rPr>
          <w:rFonts w:cstheme="minorHAnsi"/>
        </w:rPr>
        <w:t xml:space="preserve">., rozszerzonych w art. 29 ust. 2 </w:t>
      </w:r>
      <w:proofErr w:type="spellStart"/>
      <w:r w:rsidRPr="00646101">
        <w:rPr>
          <w:rFonts w:cstheme="minorHAnsi"/>
        </w:rPr>
        <w:t>Pzp</w:t>
      </w:r>
      <w:proofErr w:type="spellEnd"/>
      <w:r w:rsidRPr="00646101">
        <w:rPr>
          <w:rFonts w:cstheme="minorHAnsi"/>
        </w:rPr>
        <w:t xml:space="preserve"> o zakaz opisywania przedmiotu zamówienia w sposób, który mógłby utrudniać uczciwą konkurencję. Do stwierdzenia faktu nieprawidłowości w opisie przedmiotu zamówienia wystarczające jest jedynie zaistnienie możliwości utrudniania uczciwej konkurencji przez zastosowanie określonych postanowień w specyfikacji, niekoniecznie zaś realnego uniemożliwienia takiej konkurencji.”</w:t>
      </w:r>
      <w:r w:rsidR="00646101">
        <w:rPr>
          <w:rFonts w:cstheme="minorHAnsi"/>
        </w:rPr>
        <w:t xml:space="preserve"> </w:t>
      </w:r>
      <w:r w:rsidRPr="00646101">
        <w:rPr>
          <w:rFonts w:cstheme="minorHAnsi"/>
        </w:rPr>
        <w:t>Zatem, nie ulega wątpliwości, że wskazanie w dokumentacji przetargowej konkretnego produktu stanowi naruszenie zasady uczciwej konkurencji.</w:t>
      </w:r>
    </w:p>
    <w:p w:rsidR="00412AC2" w:rsidRPr="00646101" w:rsidRDefault="00412AC2" w:rsidP="00646101">
      <w:pPr>
        <w:jc w:val="both"/>
        <w:rPr>
          <w:rFonts w:cstheme="minorHAnsi"/>
        </w:rPr>
      </w:pPr>
      <w:r w:rsidRPr="00646101">
        <w:rPr>
          <w:rFonts w:cstheme="minorHAnsi"/>
        </w:rPr>
        <w:t>Zgodnie z Uchwałą z dnia 13 maja 2016 r., o sygnaturze KIO/KD 32/16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rygorystycznych wymagań co do parametrów technicznych, które nie są uzasadnione obiektywnymi potrzebami zamawiającego i które uniemożliwiają niektórym wykonawcom udział w postępowaniu, ograniczając w ten sposób krąg podmiotów zdolnych do wykonania zamówienia. Opisu przedmiotu zamówienia należy dokonywać z najwyższą starannością. Zamawiający decydując się na wyartykułowanie określonych cech zamawianych dóbr winien po pierwsze, znajdować uzasadnienie dla ich określenia w konkretnym kształcie, po drugie, zamawiający winien mieć pewność, że prowadzone postępowanie nie zaburza konkurencji na rynku. Nie chodzi bowiem jedynie o pozorne zagwarantowanie realizacji zasady uczciwej konkurencji.”</w:t>
      </w:r>
    </w:p>
    <w:p w:rsidR="00412AC2" w:rsidRPr="00646101" w:rsidRDefault="00412AC2" w:rsidP="00646101">
      <w:pPr>
        <w:jc w:val="both"/>
        <w:rPr>
          <w:rFonts w:cstheme="minorHAnsi"/>
        </w:rPr>
      </w:pPr>
      <w:r w:rsidRPr="00646101">
        <w:rPr>
          <w:rFonts w:cstheme="minorHAnsi"/>
        </w:rPr>
        <w:t>Mając na uwadze powyższe, wzywam Zamawiającego do przestrzegania ustawy PZP i dokonania zmiany dokumentacji przetargowej poprzez dopuszczenie produktów z pytań nr 1-16 oraz wydzielenie z Części nr 1 poz. nr 2, 23, 25, 27, 28, 29, 30, 31, 32, 33, 34, 35, 36, 37, 38, 39, 47, 48 i utworzenie odrębnego pakietu.</w:t>
      </w:r>
      <w:r w:rsidR="00646101">
        <w:rPr>
          <w:rFonts w:cstheme="minorHAnsi"/>
        </w:rPr>
        <w:t>”</w:t>
      </w:r>
    </w:p>
    <w:p w:rsidR="00D8709C" w:rsidRDefault="008E6173" w:rsidP="00D8709C">
      <w:pPr>
        <w:spacing w:after="0" w:line="240" w:lineRule="auto"/>
        <w:jc w:val="both"/>
        <w:rPr>
          <w:rFonts w:cstheme="minorHAnsi"/>
        </w:rPr>
      </w:pPr>
      <w:bookmarkStart w:id="38" w:name="_Hlk69815688"/>
      <w:r w:rsidRPr="003C0164">
        <w:rPr>
          <w:rFonts w:eastAsia="Calibri" w:cstheme="minorHAnsi"/>
          <w:b/>
          <w:color w:val="FF0000"/>
        </w:rPr>
        <w:t>Odpowied</w:t>
      </w:r>
      <w:bookmarkStart w:id="39" w:name="_Hlk69457672"/>
      <w:bookmarkEnd w:id="38"/>
      <w:r w:rsidR="00BD3873" w:rsidRPr="003C0164">
        <w:rPr>
          <w:rFonts w:eastAsia="Calibri" w:cstheme="minorHAnsi"/>
          <w:b/>
          <w:color w:val="FF0000"/>
        </w:rPr>
        <w:t>ź:</w:t>
      </w:r>
      <w:r w:rsidR="00BD3873">
        <w:rPr>
          <w:rFonts w:eastAsia="Calibri" w:cstheme="minorHAnsi"/>
          <w:color w:val="FF0000"/>
        </w:rPr>
        <w:t xml:space="preserve"> Zamawiający nie wyraża zgody na wydzielenie </w:t>
      </w:r>
      <w:r w:rsidR="00BD3873" w:rsidRPr="00BD3873">
        <w:rPr>
          <w:rFonts w:cstheme="minorHAnsi"/>
          <w:color w:val="FF0000"/>
        </w:rPr>
        <w:t>poz. nr 2, 23, 25, 27, 28, 29, 30, 31, 32, 33, 34, 35, 36, 37, 38, 39, 47, 48</w:t>
      </w:r>
      <w:r w:rsidR="009801E1">
        <w:rPr>
          <w:rFonts w:cstheme="minorHAnsi"/>
          <w:color w:val="FF0000"/>
        </w:rPr>
        <w:t xml:space="preserve"> z cz. </w:t>
      </w:r>
      <w:r w:rsidR="00BD3873" w:rsidRPr="00BD3873">
        <w:rPr>
          <w:rFonts w:cstheme="minorHAnsi"/>
          <w:color w:val="FF0000"/>
        </w:rPr>
        <w:t>1 zamówienia do odrębnego pakietu.</w:t>
      </w:r>
      <w:r w:rsidR="00BD3873">
        <w:rPr>
          <w:rFonts w:cstheme="minorHAnsi"/>
        </w:rPr>
        <w:t xml:space="preserve"> </w:t>
      </w:r>
    </w:p>
    <w:p w:rsidR="00BD3873" w:rsidRDefault="00BD3873" w:rsidP="00D8709C">
      <w:pPr>
        <w:spacing w:after="0" w:line="240" w:lineRule="auto"/>
        <w:jc w:val="both"/>
        <w:rPr>
          <w:rFonts w:cstheme="minorHAnsi"/>
        </w:rPr>
      </w:pPr>
    </w:p>
    <w:p w:rsidR="006B6C8C" w:rsidRDefault="00BD3873" w:rsidP="006B6C8C">
      <w:pPr>
        <w:pStyle w:val="Nagwek2"/>
        <w:shd w:val="clear" w:color="auto" w:fill="FFFFFF"/>
        <w:spacing w:before="0" w:after="120" w:line="240" w:lineRule="auto"/>
        <w:jc w:val="both"/>
        <w:rPr>
          <w:rFonts w:asciiTheme="minorHAnsi" w:hAnsiTheme="minorHAnsi" w:cstheme="minorHAnsi"/>
          <w:b w:val="0"/>
          <w:color w:val="FF0000"/>
          <w:sz w:val="22"/>
          <w:szCs w:val="22"/>
        </w:rPr>
      </w:pPr>
      <w:r w:rsidRPr="006B6C8C">
        <w:rPr>
          <w:rFonts w:asciiTheme="minorHAnsi" w:hAnsiTheme="minorHAnsi" w:cstheme="minorHAnsi"/>
          <w:color w:val="FF0000"/>
          <w:sz w:val="22"/>
          <w:szCs w:val="22"/>
        </w:rPr>
        <w:t>Uzasadnienie:</w:t>
      </w:r>
      <w:r w:rsidR="003C0164" w:rsidRPr="006B6C8C">
        <w:rPr>
          <w:rFonts w:asciiTheme="minorHAnsi" w:hAnsiTheme="minorHAnsi" w:cstheme="minorHAnsi"/>
          <w:b w:val="0"/>
          <w:color w:val="FF0000"/>
          <w:sz w:val="22"/>
          <w:szCs w:val="22"/>
        </w:rPr>
        <w:t xml:space="preserve"> </w:t>
      </w:r>
      <w:r w:rsidR="00AF5CD8" w:rsidRPr="006B6C8C">
        <w:rPr>
          <w:rFonts w:asciiTheme="minorHAnsi" w:hAnsiTheme="minorHAnsi" w:cstheme="minorHAnsi"/>
          <w:b w:val="0"/>
          <w:color w:val="FF0000"/>
          <w:sz w:val="22"/>
          <w:szCs w:val="22"/>
        </w:rPr>
        <w:t xml:space="preserve">Zgodnie z art. 91 Ustawy prawo zamówień publicznych z dnia 11.09.2019 r. (Dz.U. z 2019 poz. 2019) – dalej </w:t>
      </w:r>
      <w:r w:rsidR="00AF5CD8" w:rsidRPr="00DD167B">
        <w:rPr>
          <w:rFonts w:asciiTheme="minorHAnsi" w:hAnsiTheme="minorHAnsi" w:cstheme="minorHAnsi"/>
          <w:color w:val="FF0000"/>
          <w:sz w:val="22"/>
          <w:szCs w:val="22"/>
        </w:rPr>
        <w:t>UPZP</w:t>
      </w:r>
      <w:r w:rsidR="00AF5CD8" w:rsidRPr="006B6C8C">
        <w:rPr>
          <w:rFonts w:asciiTheme="minorHAnsi" w:hAnsiTheme="minorHAnsi" w:cstheme="minorHAnsi"/>
          <w:b w:val="0"/>
          <w:color w:val="FF0000"/>
          <w:sz w:val="22"/>
          <w:szCs w:val="22"/>
        </w:rPr>
        <w:t xml:space="preserve"> </w:t>
      </w:r>
      <w:r w:rsidR="00687DE8" w:rsidRPr="006B6C8C">
        <w:rPr>
          <w:rFonts w:asciiTheme="minorHAnsi" w:hAnsiTheme="minorHAnsi" w:cstheme="minorHAnsi"/>
          <w:b w:val="0"/>
          <w:color w:val="FF0000"/>
          <w:sz w:val="22"/>
          <w:szCs w:val="22"/>
        </w:rPr>
        <w:t>–</w:t>
      </w:r>
      <w:r w:rsidR="00AF5CD8" w:rsidRPr="006B6C8C">
        <w:rPr>
          <w:rFonts w:asciiTheme="minorHAnsi" w:hAnsiTheme="minorHAnsi" w:cstheme="minorHAnsi"/>
          <w:b w:val="0"/>
          <w:color w:val="FF0000"/>
          <w:sz w:val="22"/>
          <w:szCs w:val="22"/>
        </w:rPr>
        <w:t xml:space="preserve"> </w:t>
      </w:r>
      <w:r w:rsidR="00687DE8" w:rsidRPr="006B6C8C">
        <w:rPr>
          <w:rFonts w:asciiTheme="minorHAnsi" w:hAnsiTheme="minorHAnsi" w:cstheme="minorHAnsi"/>
          <w:b w:val="0"/>
          <w:i/>
          <w:color w:val="FF0000"/>
          <w:sz w:val="22"/>
          <w:szCs w:val="22"/>
        </w:rPr>
        <w:t>„</w:t>
      </w:r>
      <w:r w:rsidR="00687DE8" w:rsidRPr="006B6C8C">
        <w:rPr>
          <w:rFonts w:asciiTheme="minorHAnsi" w:hAnsiTheme="minorHAnsi" w:cstheme="minorHAnsi"/>
          <w:b w:val="0"/>
          <w:i/>
          <w:color w:val="FF0000"/>
          <w:sz w:val="22"/>
          <w:szCs w:val="22"/>
          <w:shd w:val="clear" w:color="auto" w:fill="FFFFFF"/>
        </w:rPr>
        <w:t xml:space="preserve">Zamawiający </w:t>
      </w:r>
      <w:r w:rsidR="00687DE8" w:rsidRPr="009801E1">
        <w:rPr>
          <w:rFonts w:asciiTheme="minorHAnsi" w:hAnsiTheme="minorHAnsi" w:cstheme="minorHAnsi"/>
          <w:b w:val="0"/>
          <w:i/>
          <w:color w:val="FF0000"/>
          <w:sz w:val="22"/>
          <w:szCs w:val="22"/>
          <w:u w:val="single"/>
          <w:shd w:val="clear" w:color="auto" w:fill="FFFFFF"/>
        </w:rPr>
        <w:t>może</w:t>
      </w:r>
      <w:r w:rsidR="00687DE8" w:rsidRPr="006B6C8C">
        <w:rPr>
          <w:rFonts w:asciiTheme="minorHAnsi" w:hAnsiTheme="minorHAnsi" w:cstheme="minorHAnsi"/>
          <w:b w:val="0"/>
          <w:i/>
          <w:color w:val="FF0000"/>
          <w:sz w:val="22"/>
          <w:szCs w:val="22"/>
          <w:shd w:val="clear" w:color="auto" w:fill="FFFFFF"/>
        </w:rPr>
        <w:t xml:space="preserve"> udzielić zamówienia w częściach, z których każda stanowi przedmiot odrębnego postępowania o udzielenie zamówienia, lub dopuścić możliwość składania ofert częściowych w ramach jednego postępowania o udzielenie zamówienia, określając zakres i przedmiot części oraz wskazując, czy ofertę można składać w odniesieniu do jednej, kilku lub wszystkich części zamówienia.</w:t>
      </w:r>
      <w:r w:rsidR="00687DE8" w:rsidRPr="006B6C8C">
        <w:rPr>
          <w:rFonts w:asciiTheme="minorHAnsi" w:hAnsiTheme="minorHAnsi" w:cstheme="minorHAnsi"/>
          <w:b w:val="0"/>
          <w:i/>
          <w:color w:val="FF0000"/>
          <w:sz w:val="22"/>
          <w:szCs w:val="22"/>
        </w:rPr>
        <w:t>”</w:t>
      </w:r>
      <w:r w:rsidR="00687DE8" w:rsidRPr="006B6C8C">
        <w:rPr>
          <w:rFonts w:asciiTheme="minorHAnsi" w:hAnsiTheme="minorHAnsi" w:cstheme="minorHAnsi"/>
          <w:b w:val="0"/>
          <w:color w:val="FF0000"/>
          <w:sz w:val="22"/>
          <w:szCs w:val="22"/>
        </w:rPr>
        <w:t xml:space="preserve"> (ust. 1) </w:t>
      </w:r>
      <w:r w:rsidR="00687DE8" w:rsidRPr="006B6C8C">
        <w:rPr>
          <w:rFonts w:asciiTheme="minorHAnsi" w:hAnsiTheme="minorHAnsi" w:cstheme="minorHAnsi"/>
          <w:b w:val="0"/>
          <w:i/>
          <w:color w:val="FF0000"/>
          <w:sz w:val="22"/>
          <w:szCs w:val="22"/>
        </w:rPr>
        <w:t>„</w:t>
      </w:r>
      <w:r w:rsidR="00687DE8" w:rsidRPr="006B6C8C">
        <w:rPr>
          <w:rFonts w:asciiTheme="minorHAnsi" w:hAnsiTheme="minorHAnsi" w:cstheme="minorHAnsi"/>
          <w:b w:val="0"/>
          <w:i/>
          <w:color w:val="FF0000"/>
          <w:sz w:val="22"/>
          <w:szCs w:val="22"/>
          <w:shd w:val="clear" w:color="auto" w:fill="FFFFFF"/>
        </w:rPr>
        <w:t>Zamawiający wskazuje w dokumentach zamówienia powody niedokonania podziału zamówienia na części.”</w:t>
      </w:r>
      <w:r w:rsidR="008124D3" w:rsidRPr="006B6C8C">
        <w:rPr>
          <w:rFonts w:asciiTheme="minorHAnsi" w:hAnsiTheme="minorHAnsi" w:cstheme="minorHAnsi"/>
          <w:b w:val="0"/>
          <w:color w:val="FF0000"/>
          <w:sz w:val="22"/>
          <w:szCs w:val="22"/>
          <w:shd w:val="clear" w:color="auto" w:fill="FFFFFF"/>
        </w:rPr>
        <w:t xml:space="preserve"> (ust. 2). Niemal tożsame regulacje w odniesieniu do zagadnienia podziału zamówienia na części znalazły się w art. 46 Dyrektywy Parlamentu Europejskiego i Rady 2014/04/UE z dnia 26.02.2014 r. w sprawie zamówień publicznych, uchylającej dyrektywę 2004/18/WE</w:t>
      </w:r>
      <w:r w:rsidR="006B6C8C" w:rsidRPr="006B6C8C">
        <w:rPr>
          <w:rFonts w:asciiTheme="minorHAnsi" w:hAnsiTheme="minorHAnsi" w:cstheme="minorHAnsi"/>
          <w:b w:val="0"/>
          <w:color w:val="FF0000"/>
          <w:sz w:val="22"/>
          <w:szCs w:val="22"/>
          <w:shd w:val="clear" w:color="auto" w:fill="FFFFFF"/>
        </w:rPr>
        <w:t xml:space="preserve"> </w:t>
      </w:r>
      <w:r w:rsidR="006B6C8C">
        <w:rPr>
          <w:rFonts w:asciiTheme="minorHAnsi" w:hAnsiTheme="minorHAnsi" w:cstheme="minorHAnsi"/>
          <w:b w:val="0"/>
          <w:color w:val="FF0000"/>
          <w:sz w:val="22"/>
          <w:szCs w:val="22"/>
          <w:shd w:val="clear" w:color="auto" w:fill="FFFFFF"/>
        </w:rPr>
        <w:t>(</w:t>
      </w:r>
      <w:proofErr w:type="spellStart"/>
      <w:r w:rsidR="006B6C8C" w:rsidRPr="006B6C8C">
        <w:rPr>
          <w:rFonts w:asciiTheme="minorHAnsi" w:hAnsiTheme="minorHAnsi" w:cstheme="minorHAnsi"/>
          <w:b w:val="0"/>
          <w:color w:val="FF0000"/>
          <w:sz w:val="22"/>
          <w:szCs w:val="22"/>
        </w:rPr>
        <w:t>Dz.Urz.UE.L</w:t>
      </w:r>
      <w:proofErr w:type="spellEnd"/>
      <w:r w:rsidR="006B6C8C" w:rsidRPr="006B6C8C">
        <w:rPr>
          <w:rFonts w:asciiTheme="minorHAnsi" w:hAnsiTheme="minorHAnsi" w:cstheme="minorHAnsi"/>
          <w:b w:val="0"/>
          <w:color w:val="FF0000"/>
          <w:sz w:val="22"/>
          <w:szCs w:val="22"/>
        </w:rPr>
        <w:t xml:space="preserve"> 2014 Nr 94, str. 65</w:t>
      </w:r>
      <w:r w:rsidR="006B6C8C">
        <w:rPr>
          <w:rFonts w:asciiTheme="minorHAnsi" w:hAnsiTheme="minorHAnsi" w:cstheme="minorHAnsi"/>
          <w:b w:val="0"/>
          <w:color w:val="FF0000"/>
          <w:sz w:val="22"/>
          <w:szCs w:val="22"/>
        </w:rPr>
        <w:t xml:space="preserve">) – dalej </w:t>
      </w:r>
      <w:r w:rsidR="006B6C8C" w:rsidRPr="00F8686A">
        <w:rPr>
          <w:rFonts w:asciiTheme="minorHAnsi" w:hAnsiTheme="minorHAnsi" w:cstheme="minorHAnsi"/>
          <w:color w:val="FF0000"/>
          <w:sz w:val="22"/>
          <w:szCs w:val="22"/>
        </w:rPr>
        <w:t>Dyrektywa 2014/04/UE</w:t>
      </w:r>
      <w:r w:rsidR="006B6C8C">
        <w:rPr>
          <w:rFonts w:asciiTheme="minorHAnsi" w:hAnsiTheme="minorHAnsi" w:cstheme="minorHAnsi"/>
          <w:b w:val="0"/>
          <w:color w:val="FF0000"/>
          <w:sz w:val="22"/>
          <w:szCs w:val="22"/>
        </w:rPr>
        <w:t xml:space="preserve">. </w:t>
      </w:r>
    </w:p>
    <w:p w:rsidR="00F8686A" w:rsidRPr="00F8686A" w:rsidRDefault="00F8686A" w:rsidP="00F8686A">
      <w:pPr>
        <w:spacing w:after="120" w:line="240" w:lineRule="auto"/>
        <w:jc w:val="both"/>
        <w:rPr>
          <w:rFonts w:cstheme="minorHAnsi"/>
          <w:color w:val="FF0000"/>
        </w:rPr>
      </w:pPr>
      <w:r w:rsidRPr="00E14B85">
        <w:rPr>
          <w:color w:val="FF0000"/>
        </w:rPr>
        <w:t xml:space="preserve">Jednocześnie motyw 78 wspomnianej Dyrektywy 2014/04/UE stanowi, iż </w:t>
      </w:r>
      <w:r w:rsidRPr="00E14B85">
        <w:rPr>
          <w:rFonts w:cstheme="minorHAnsi"/>
          <w:i/>
          <w:color w:val="FF0000"/>
        </w:rPr>
        <w:t>„</w:t>
      </w:r>
      <w:r w:rsidRPr="00E14B85">
        <w:rPr>
          <w:rFonts w:eastAsia="Times New Roman" w:cstheme="minorHAnsi"/>
          <w:i/>
          <w:color w:val="FF0000"/>
          <w:shd w:val="clear" w:color="auto" w:fill="FFFFFF"/>
          <w:lang w:eastAsia="pl-PL"/>
        </w:rPr>
        <w:t xml:space="preserve">Zamówienia publiczne powinny być dostosowane do potrzeb MŚP. </w:t>
      </w:r>
      <w:r w:rsidRPr="00E14B85">
        <w:rPr>
          <w:rFonts w:eastAsia="Times New Roman" w:cstheme="minorHAnsi"/>
          <w:i/>
          <w:color w:val="FF0000"/>
          <w:u w:val="single"/>
          <w:shd w:val="clear" w:color="auto" w:fill="FFFFFF"/>
          <w:lang w:eastAsia="pl-PL"/>
        </w:rPr>
        <w:t>Instytucje zamawiające należy zachęcać</w:t>
      </w:r>
      <w:r w:rsidRPr="00E14B85">
        <w:rPr>
          <w:rFonts w:eastAsia="Times New Roman" w:cstheme="minorHAnsi"/>
          <w:i/>
          <w:color w:val="FF0000"/>
          <w:shd w:val="clear" w:color="auto" w:fill="FFFFFF"/>
          <w:lang w:eastAsia="pl-PL"/>
        </w:rPr>
        <w:t xml:space="preserve"> do korzystania z kodeksu najlepszych praktyk określonego w dokumencie roboczym służb Komisji z dnia 25 czerwca 2008 r. zatytułowanym "Europejski kodeks najlepszych praktyk ułatwiających dostęp MŚP do zamówień publicznych", zawierającego wytyczne mówiące o tym, w jaki sposób instytucje te mogą stosować ramy zamówień publicznych, aby ułatwić udział MŚP. W tym celu oraz aby zwiększyć konkurencję, instytucje zamawiające należy w szczególności </w:t>
      </w:r>
      <w:r w:rsidRPr="00E14B85">
        <w:rPr>
          <w:rFonts w:eastAsia="Times New Roman" w:cstheme="minorHAnsi"/>
          <w:i/>
          <w:color w:val="FF0000"/>
          <w:u w:val="single"/>
          <w:shd w:val="clear" w:color="auto" w:fill="FFFFFF"/>
          <w:lang w:eastAsia="pl-PL"/>
        </w:rPr>
        <w:t>zachęcać do dzielenia dużych zamówień na części.</w:t>
      </w:r>
      <w:r w:rsidRPr="00E14B85">
        <w:rPr>
          <w:rFonts w:eastAsia="Times New Roman" w:cstheme="minorHAnsi"/>
          <w:i/>
          <w:color w:val="FF0000"/>
          <w:shd w:val="clear" w:color="auto" w:fill="FFFFFF"/>
          <w:lang w:eastAsia="pl-PL"/>
        </w:rPr>
        <w:t xml:space="preserve"> Podziału takiego można dokonać na </w:t>
      </w:r>
      <w:r w:rsidRPr="00E14B85">
        <w:rPr>
          <w:rFonts w:eastAsia="Times New Roman" w:cstheme="minorHAnsi"/>
          <w:i/>
          <w:color w:val="FF0000"/>
          <w:u w:val="single"/>
          <w:shd w:val="clear" w:color="auto" w:fill="FFFFFF"/>
          <w:lang w:eastAsia="pl-PL"/>
        </w:rPr>
        <w:t>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projektu. Wielkość i przedmiot poszczególnych części zamówienia powinny być dowolnie określane przez instytucję zamawiającą</w:t>
      </w:r>
      <w:r w:rsidRPr="00E14B85">
        <w:rPr>
          <w:rFonts w:eastAsia="Times New Roman" w:cstheme="minorHAnsi"/>
          <w:i/>
          <w:color w:val="FF0000"/>
          <w:shd w:val="clear" w:color="auto" w:fill="FFFFFF"/>
          <w:lang w:eastAsia="pl-PL"/>
        </w:rPr>
        <w:t xml:space="preserve">, która zgodnie z odnośnymi przepisami o obliczaniu szacunkowej wartości zamówienia, powinna także mieć prawo do tego, by udzielić niektórych z tych części zamówienia bez stosowania procedur niniejszej dyrektywy. </w:t>
      </w:r>
      <w:r w:rsidRPr="00E14B85">
        <w:rPr>
          <w:rFonts w:eastAsia="Times New Roman" w:cstheme="minorHAnsi"/>
          <w:i/>
          <w:color w:val="FF0000"/>
          <w:u w:val="single"/>
          <w:shd w:val="clear" w:color="auto" w:fill="FFFFFF"/>
          <w:lang w:eastAsia="pl-PL"/>
        </w:rPr>
        <w:t>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Pr="00E14B85">
        <w:rPr>
          <w:rFonts w:eastAsia="Times New Roman" w:cstheme="minorHAnsi"/>
          <w:i/>
          <w:color w:val="FF0000"/>
          <w:shd w:val="clear" w:color="auto" w:fill="FFFFFF"/>
          <w:lang w:eastAsia="pl-PL"/>
        </w:rPr>
        <w:t xml:space="preserve"> W przypadku gdy instytucja zamawiająca zdecyduje, że podział zamówienia na części nie byłby właściwy, stosowne indywidualne sprawozdanie lub dokumenty zamówienia powinny zawierać wskazanie głównych przyczyn decyzji instytucji zamawiającej. </w:t>
      </w:r>
      <w:r w:rsidRPr="00E14B85">
        <w:rPr>
          <w:rFonts w:eastAsia="Times New Roman" w:cstheme="minorHAnsi"/>
          <w:i/>
          <w:color w:val="FF0000"/>
          <w:u w:val="single"/>
          <w:shd w:val="clear" w:color="auto" w:fill="FFFFFF"/>
          <w:lang w:eastAsia="pl-PL"/>
        </w:rPr>
        <w:t>Przyczyny te mogłyby być na przykład następujące: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r w:rsidRPr="00E14B85">
        <w:rPr>
          <w:rFonts w:eastAsia="Times New Roman" w:cstheme="minorHAnsi"/>
          <w:i/>
          <w:color w:val="FF0000"/>
          <w:shd w:val="clear" w:color="auto" w:fill="FFFFFF"/>
          <w:lang w:eastAsia="pl-PL"/>
        </w:rPr>
        <w:t xml:space="preserve"> Państwa członkowskie powinny zachować możliwość podejmowania dalszych starań w celu ułatwiania MŚP udziału w rynku zamówień publicznych, rozszerzając zakres obowiązku rozważenia celowości podziału zamówień na mniejsze części, żądając od instytucji zamawiających uzasadnienia decyzji o niedokonywaniu podziału zamówień na części lub czyniąc ten podział obowiązkowym pod pewnymi warunkami. W tym samym celu państwa członkowskie powinny także mieć możliwość zapewnienia mechanizmów służących dokonywaniu bezpośrednich płatności na rzecz podwykonawców.”</w:t>
      </w:r>
    </w:p>
    <w:p w:rsidR="008B162F" w:rsidRDefault="008B162F" w:rsidP="008B162F">
      <w:pPr>
        <w:jc w:val="both"/>
        <w:rPr>
          <w:rFonts w:eastAsia="Times New Roman" w:cstheme="minorHAnsi"/>
          <w:bCs/>
          <w:color w:val="FF0000"/>
          <w:lang w:eastAsia="pl-PL"/>
        </w:rPr>
      </w:pPr>
      <w:r w:rsidRPr="008B162F">
        <w:rPr>
          <w:rFonts w:cstheme="minorHAnsi"/>
          <w:color w:val="FF0000"/>
        </w:rPr>
        <w:t xml:space="preserve">Jak podkreśla się przy tym w doktrynie i orzecznictwie </w:t>
      </w:r>
      <w:r w:rsidRPr="008B162F">
        <w:rPr>
          <w:rFonts w:cstheme="minorHAnsi"/>
          <w:i/>
          <w:color w:val="FF0000"/>
        </w:rPr>
        <w:t>„</w:t>
      </w:r>
      <w:r w:rsidRPr="008B162F">
        <w:rPr>
          <w:rFonts w:eastAsia="Times New Roman" w:cstheme="minorHAnsi"/>
          <w:bCs/>
          <w:i/>
          <w:color w:val="FF0000"/>
          <w:lang w:eastAsia="pl-PL"/>
        </w:rPr>
        <w:t>Zasadność podziału zamówienia na części lub jego brak</w:t>
      </w:r>
      <w:r w:rsidRPr="008B162F">
        <w:rPr>
          <w:rFonts w:eastAsia="Times New Roman" w:cstheme="minorHAnsi"/>
          <w:i/>
          <w:color w:val="FF0000"/>
          <w:lang w:eastAsia="pl-PL"/>
        </w:rPr>
        <w:t>, a w konsekwencji </w:t>
      </w:r>
      <w:r w:rsidRPr="008B162F">
        <w:rPr>
          <w:rFonts w:eastAsia="Times New Roman" w:cstheme="minorHAnsi"/>
          <w:bCs/>
          <w:i/>
          <w:color w:val="FF0000"/>
          <w:lang w:eastAsia="pl-PL"/>
        </w:rPr>
        <w:t>ewentualne ograniczenie dostępu</w:t>
      </w:r>
      <w:r w:rsidRPr="008B162F">
        <w:rPr>
          <w:rFonts w:eastAsia="Times New Roman" w:cstheme="minorHAnsi"/>
          <w:i/>
          <w:color w:val="FF0000"/>
          <w:lang w:eastAsia="pl-PL"/>
        </w:rPr>
        <w:t> wykonawców do zamówienia i naruszenie zasad wynikających z </w:t>
      </w:r>
      <w:hyperlink r:id="rId8" w:history="1">
        <w:r w:rsidRPr="008B162F">
          <w:rPr>
            <w:rFonts w:eastAsia="Times New Roman" w:cstheme="minorHAnsi"/>
            <w:i/>
            <w:color w:val="FF0000"/>
            <w:lang w:eastAsia="pl-PL"/>
          </w:rPr>
          <w:t>art. 16 pkt 1</w:t>
        </w:r>
      </w:hyperlink>
      <w:r w:rsidRPr="008B162F">
        <w:rPr>
          <w:rFonts w:eastAsia="Times New Roman" w:cstheme="minorHAnsi"/>
          <w:i/>
          <w:color w:val="FF0000"/>
          <w:lang w:eastAsia="pl-PL"/>
        </w:rPr>
        <w:t> PZP (poprzednio </w:t>
      </w:r>
      <w:hyperlink r:id="rId9" w:history="1">
        <w:r w:rsidRPr="008B162F">
          <w:rPr>
            <w:rFonts w:eastAsia="Times New Roman" w:cstheme="minorHAnsi"/>
            <w:i/>
            <w:color w:val="FF0000"/>
            <w:lang w:eastAsia="pl-PL"/>
          </w:rPr>
          <w:t>art. 7 ust. 1</w:t>
        </w:r>
      </w:hyperlink>
      <w:r w:rsidRPr="008B162F">
        <w:rPr>
          <w:rFonts w:eastAsia="Times New Roman" w:cstheme="minorHAnsi"/>
          <w:i/>
          <w:color w:val="FF0000"/>
          <w:lang w:eastAsia="pl-PL"/>
        </w:rPr>
        <w:t xml:space="preserve"> PZP2004) </w:t>
      </w:r>
      <w:r w:rsidRPr="006A10E2">
        <w:rPr>
          <w:rFonts w:eastAsia="Times New Roman" w:cstheme="minorHAnsi"/>
          <w:i/>
          <w:color w:val="FF0000"/>
          <w:u w:val="single"/>
          <w:lang w:eastAsia="pl-PL"/>
        </w:rPr>
        <w:t>powinny być oceniane w kontekście </w:t>
      </w:r>
      <w:r w:rsidRPr="006A10E2">
        <w:rPr>
          <w:rFonts w:eastAsia="Times New Roman" w:cstheme="minorHAnsi"/>
          <w:bCs/>
          <w:i/>
          <w:color w:val="FF0000"/>
          <w:u w:val="single"/>
          <w:lang w:eastAsia="pl-PL"/>
        </w:rPr>
        <w:t>uzasadnionych potrzeb i korzyści</w:t>
      </w:r>
      <w:r w:rsidRPr="006A10E2">
        <w:rPr>
          <w:rFonts w:eastAsia="Times New Roman" w:cstheme="minorHAnsi"/>
          <w:i/>
          <w:color w:val="FF0000"/>
          <w:u w:val="single"/>
          <w:lang w:eastAsia="pl-PL"/>
        </w:rPr>
        <w:t>, jakie może nieść taka formuła zamówienia dla zamawiającego</w:t>
      </w:r>
      <w:r w:rsidRPr="008B162F">
        <w:rPr>
          <w:rFonts w:eastAsia="Times New Roman" w:cstheme="minorHAnsi"/>
          <w:i/>
          <w:color w:val="FF0000"/>
          <w:lang w:eastAsia="pl-PL"/>
        </w:rPr>
        <w:t xml:space="preserve"> (wyr. KIO z 9.2.2017 r., </w:t>
      </w:r>
      <w:hyperlink r:id="rId10" w:history="1">
        <w:r w:rsidRPr="008B162F">
          <w:rPr>
            <w:rFonts w:eastAsia="Times New Roman" w:cstheme="minorHAnsi"/>
            <w:i/>
            <w:color w:val="FF0000"/>
            <w:lang w:eastAsia="pl-PL"/>
          </w:rPr>
          <w:t>KIO 164/17</w:t>
        </w:r>
      </w:hyperlink>
      <w:r w:rsidRPr="008B162F">
        <w:rPr>
          <w:rFonts w:eastAsia="Times New Roman" w:cstheme="minorHAnsi"/>
          <w:i/>
          <w:color w:val="FF0000"/>
          <w:lang w:eastAsia="pl-PL"/>
        </w:rPr>
        <w:t xml:space="preserve">, </w:t>
      </w:r>
      <w:proofErr w:type="spellStart"/>
      <w:r w:rsidRPr="008B162F">
        <w:rPr>
          <w:rFonts w:eastAsia="Times New Roman" w:cstheme="minorHAnsi"/>
          <w:i/>
          <w:color w:val="FF0000"/>
          <w:lang w:eastAsia="pl-PL"/>
        </w:rPr>
        <w:t>Legalis</w:t>
      </w:r>
      <w:proofErr w:type="spellEnd"/>
      <w:r w:rsidRPr="008B162F">
        <w:rPr>
          <w:rFonts w:eastAsia="Times New Roman" w:cstheme="minorHAnsi"/>
          <w:i/>
          <w:color w:val="FF0000"/>
          <w:lang w:eastAsia="pl-PL"/>
        </w:rPr>
        <w:t xml:space="preserve">). </w:t>
      </w:r>
      <w:r w:rsidRPr="00C5391E">
        <w:rPr>
          <w:rFonts w:eastAsia="Times New Roman" w:cstheme="minorHAnsi"/>
          <w:i/>
          <w:color w:val="FF0000"/>
          <w:u w:val="single"/>
          <w:lang w:eastAsia="pl-PL"/>
        </w:rPr>
        <w:t>Taki sposób interpretacji omawianego przepisu utrwalił się w praktyce orzeczniczej.</w:t>
      </w:r>
      <w:r w:rsidRPr="008B162F">
        <w:rPr>
          <w:rFonts w:eastAsia="Times New Roman" w:cstheme="minorHAnsi"/>
          <w:i/>
          <w:color w:val="FF0000"/>
          <w:lang w:eastAsia="pl-PL"/>
        </w:rPr>
        <w:t xml:space="preserve"> Dla przykładu można dodatkowo wskazać na wyrok KIO z 28.5.2019 r. (</w:t>
      </w:r>
      <w:hyperlink r:id="rId11" w:history="1">
        <w:r w:rsidRPr="008B162F">
          <w:rPr>
            <w:rFonts w:eastAsia="Times New Roman" w:cstheme="minorHAnsi"/>
            <w:i/>
            <w:color w:val="FF0000"/>
            <w:lang w:eastAsia="pl-PL"/>
          </w:rPr>
          <w:t>KIO 874/19</w:t>
        </w:r>
      </w:hyperlink>
      <w:r w:rsidRPr="008B162F">
        <w:rPr>
          <w:rFonts w:eastAsia="Times New Roman" w:cstheme="minorHAnsi"/>
          <w:i/>
          <w:color w:val="FF0000"/>
          <w:lang w:eastAsia="pl-PL"/>
        </w:rPr>
        <w:t xml:space="preserve">, </w:t>
      </w:r>
      <w:proofErr w:type="spellStart"/>
      <w:r w:rsidRPr="008B162F">
        <w:rPr>
          <w:rFonts w:eastAsia="Times New Roman" w:cstheme="minorHAnsi"/>
          <w:i/>
          <w:color w:val="FF0000"/>
          <w:lang w:eastAsia="pl-PL"/>
        </w:rPr>
        <w:t>Legalis</w:t>
      </w:r>
      <w:proofErr w:type="spellEnd"/>
      <w:r w:rsidRPr="008B162F">
        <w:rPr>
          <w:rFonts w:eastAsia="Times New Roman" w:cstheme="minorHAnsi"/>
          <w:i/>
          <w:color w:val="FF0000"/>
          <w:lang w:eastAsia="pl-PL"/>
        </w:rPr>
        <w:t>), w którym powołano się także na część motywacyjną dyrektyw unijnych, w tym motyw 78 preambuły dyrektywy </w:t>
      </w:r>
      <w:hyperlink r:id="rId12" w:history="1">
        <w:r w:rsidRPr="008B162F">
          <w:rPr>
            <w:rFonts w:eastAsia="Times New Roman" w:cstheme="minorHAnsi"/>
            <w:i/>
            <w:color w:val="FF0000"/>
            <w:lang w:eastAsia="pl-PL"/>
          </w:rPr>
          <w:t>2014/24/UE</w:t>
        </w:r>
      </w:hyperlink>
      <w:r w:rsidRPr="008B162F">
        <w:rPr>
          <w:rFonts w:eastAsia="Times New Roman" w:cstheme="minorHAnsi"/>
          <w:i/>
          <w:color w:val="FF0000"/>
          <w:lang w:eastAsia="pl-PL"/>
        </w:rPr>
        <w:t>, w którym wskazano, że instytucja zamawiająca powinna mieć </w:t>
      </w:r>
      <w:r w:rsidRPr="008B162F">
        <w:rPr>
          <w:rFonts w:eastAsia="Times New Roman" w:cstheme="minorHAnsi"/>
          <w:bCs/>
          <w:i/>
          <w:color w:val="FF0000"/>
          <w:lang w:eastAsia="pl-PL"/>
        </w:rPr>
        <w:t>obowiązek rozważenia celowości podziału</w:t>
      </w:r>
      <w:r w:rsidRPr="008B162F">
        <w:rPr>
          <w:rFonts w:eastAsia="Times New Roman" w:cstheme="minorHAnsi"/>
          <w:i/>
          <w:color w:val="FF0000"/>
          <w:lang w:eastAsia="pl-PL"/>
        </w:rPr>
        <w:t xml:space="preserve"> zamówień na części, </w:t>
      </w:r>
      <w:r w:rsidRPr="00C5391E">
        <w:rPr>
          <w:rFonts w:eastAsia="Times New Roman" w:cstheme="minorHAnsi"/>
          <w:i/>
          <w:color w:val="FF0000"/>
          <w:u w:val="single"/>
          <w:lang w:eastAsia="pl-PL"/>
        </w:rPr>
        <w:t>jednocześnie zachowując swobodę autonomicznego podejmowania decyzji na każdej podstawie, jaką uzna za stosowną, nie podlegając nadzorowi administracyjnemu ani sądowemu. Natomiast decyzja ta powinna rzeczywiście być </w:t>
      </w:r>
      <w:r w:rsidRPr="00C5391E">
        <w:rPr>
          <w:rFonts w:eastAsia="Times New Roman" w:cstheme="minorHAnsi"/>
          <w:bCs/>
          <w:i/>
          <w:color w:val="FF0000"/>
          <w:u w:val="single"/>
          <w:lang w:eastAsia="pl-PL"/>
        </w:rPr>
        <w:t>oparta o analizę rynku”</w:t>
      </w:r>
      <w:r w:rsidRPr="00C5391E">
        <w:rPr>
          <w:rFonts w:eastAsia="Times New Roman" w:cstheme="minorHAnsi"/>
          <w:bCs/>
          <w:color w:val="FF0000"/>
          <w:u w:val="single"/>
          <w:lang w:eastAsia="pl-PL"/>
        </w:rPr>
        <w:t xml:space="preserve"> </w:t>
      </w:r>
      <w:r w:rsidRPr="008B162F">
        <w:rPr>
          <w:rFonts w:eastAsia="Times New Roman" w:cstheme="minorHAnsi"/>
          <w:bCs/>
          <w:color w:val="FF0000"/>
          <w:lang w:eastAsia="pl-PL"/>
        </w:rPr>
        <w:t xml:space="preserve">(M. Jaworska i in. Prawo zamówień publicznych. Komentarz. </w:t>
      </w:r>
      <w:proofErr w:type="spellStart"/>
      <w:r w:rsidRPr="008B162F">
        <w:rPr>
          <w:rFonts w:eastAsia="Times New Roman" w:cstheme="minorHAnsi"/>
          <w:bCs/>
          <w:color w:val="FF0000"/>
          <w:lang w:eastAsia="pl-PL"/>
        </w:rPr>
        <w:t>Legalis</w:t>
      </w:r>
      <w:proofErr w:type="spellEnd"/>
      <w:r w:rsidRPr="008B162F">
        <w:rPr>
          <w:rFonts w:eastAsia="Times New Roman" w:cstheme="minorHAnsi"/>
          <w:bCs/>
          <w:color w:val="FF0000"/>
          <w:lang w:eastAsia="pl-PL"/>
        </w:rPr>
        <w:t xml:space="preserve"> 2021).</w:t>
      </w:r>
      <w:r>
        <w:rPr>
          <w:rFonts w:eastAsia="Times New Roman" w:cstheme="minorHAnsi"/>
          <w:bCs/>
          <w:color w:val="FF0000"/>
          <w:lang w:eastAsia="pl-PL"/>
        </w:rPr>
        <w:t xml:space="preserve"> </w:t>
      </w:r>
    </w:p>
    <w:p w:rsidR="00191D27" w:rsidRDefault="00191D27" w:rsidP="008B162F">
      <w:pPr>
        <w:jc w:val="both"/>
        <w:rPr>
          <w:rFonts w:eastAsia="Times New Roman" w:cstheme="minorHAnsi"/>
          <w:bCs/>
          <w:color w:val="FF0000"/>
          <w:lang w:eastAsia="pl-PL"/>
        </w:rPr>
      </w:pPr>
      <w:r>
        <w:rPr>
          <w:rFonts w:eastAsia="Times New Roman" w:cstheme="minorHAnsi"/>
          <w:bCs/>
          <w:color w:val="FF0000"/>
          <w:lang w:eastAsia="pl-PL"/>
        </w:rPr>
        <w:t>Przechodząc na grunt niniejszego postępowania</w:t>
      </w:r>
      <w:r w:rsidR="00C5391E">
        <w:rPr>
          <w:rFonts w:eastAsia="Times New Roman" w:cstheme="minorHAnsi"/>
          <w:bCs/>
          <w:color w:val="FF0000"/>
          <w:lang w:eastAsia="pl-PL"/>
        </w:rPr>
        <w:t>,</w:t>
      </w:r>
      <w:r w:rsidR="00044BE5">
        <w:rPr>
          <w:rFonts w:eastAsia="Times New Roman" w:cstheme="minorHAnsi"/>
          <w:bCs/>
          <w:color w:val="FF0000"/>
          <w:lang w:eastAsia="pl-PL"/>
        </w:rPr>
        <w:t xml:space="preserve"> w pierwszym rzędzie</w:t>
      </w:r>
      <w:r>
        <w:rPr>
          <w:rFonts w:eastAsia="Times New Roman" w:cstheme="minorHAnsi"/>
          <w:bCs/>
          <w:color w:val="FF0000"/>
          <w:lang w:eastAsia="pl-PL"/>
        </w:rPr>
        <w:t xml:space="preserve"> należy podkreślić, że </w:t>
      </w:r>
      <w:r w:rsidR="00851ECC">
        <w:rPr>
          <w:rFonts w:eastAsia="Times New Roman" w:cstheme="minorHAnsi"/>
          <w:bCs/>
          <w:color w:val="FF0000"/>
          <w:lang w:eastAsia="pl-PL"/>
        </w:rPr>
        <w:t>zgodnie z decyzją Z</w:t>
      </w:r>
      <w:r w:rsidR="00044BE5">
        <w:rPr>
          <w:rFonts w:eastAsia="Times New Roman" w:cstheme="minorHAnsi"/>
          <w:bCs/>
          <w:color w:val="FF0000"/>
          <w:lang w:eastAsia="pl-PL"/>
        </w:rPr>
        <w:t>amawiającego zostało ono podzielone na dwie części</w:t>
      </w:r>
      <w:r w:rsidR="00851ECC">
        <w:rPr>
          <w:rFonts w:eastAsia="Times New Roman" w:cstheme="minorHAnsi"/>
          <w:bCs/>
          <w:color w:val="FF0000"/>
          <w:lang w:eastAsia="pl-PL"/>
        </w:rPr>
        <w:t xml:space="preserve"> według kryterium jakościowego, o którym mowa w motywie 78 Dyrektywy </w:t>
      </w:r>
      <w:r w:rsidR="00851ECC" w:rsidRPr="00E14B85">
        <w:rPr>
          <w:color w:val="FF0000"/>
        </w:rPr>
        <w:t>2014/04/UE</w:t>
      </w:r>
      <w:r w:rsidR="00851ECC">
        <w:rPr>
          <w:color w:val="FF0000"/>
        </w:rPr>
        <w:t xml:space="preserve">. </w:t>
      </w:r>
      <w:r w:rsidR="00851ECC">
        <w:rPr>
          <w:rFonts w:eastAsia="Times New Roman" w:cstheme="minorHAnsi"/>
          <w:bCs/>
          <w:color w:val="FF0000"/>
          <w:lang w:eastAsia="pl-PL"/>
        </w:rPr>
        <w:t>A</w:t>
      </w:r>
      <w:r>
        <w:rPr>
          <w:rFonts w:eastAsia="Times New Roman" w:cstheme="minorHAnsi"/>
          <w:bCs/>
          <w:color w:val="FF0000"/>
          <w:lang w:eastAsia="pl-PL"/>
        </w:rPr>
        <w:t>naliza rynku, oparta m.in.</w:t>
      </w:r>
      <w:r w:rsidR="00C5391E">
        <w:rPr>
          <w:rFonts w:eastAsia="Times New Roman" w:cstheme="minorHAnsi"/>
          <w:bCs/>
          <w:color w:val="FF0000"/>
          <w:lang w:eastAsia="pl-PL"/>
        </w:rPr>
        <w:t xml:space="preserve"> na</w:t>
      </w:r>
      <w:r>
        <w:rPr>
          <w:rFonts w:eastAsia="Times New Roman" w:cstheme="minorHAnsi"/>
          <w:bCs/>
          <w:color w:val="FF0000"/>
          <w:lang w:eastAsia="pl-PL"/>
        </w:rPr>
        <w:t xml:space="preserve"> doświadczenia</w:t>
      </w:r>
      <w:r w:rsidR="00C5391E">
        <w:rPr>
          <w:rFonts w:eastAsia="Times New Roman" w:cstheme="minorHAnsi"/>
          <w:bCs/>
          <w:color w:val="FF0000"/>
          <w:lang w:eastAsia="pl-PL"/>
        </w:rPr>
        <w:t>ch wynikających</w:t>
      </w:r>
      <w:r>
        <w:rPr>
          <w:rFonts w:eastAsia="Times New Roman" w:cstheme="minorHAnsi"/>
          <w:bCs/>
          <w:color w:val="FF0000"/>
          <w:lang w:eastAsia="pl-PL"/>
        </w:rPr>
        <w:t xml:space="preserve"> z </w:t>
      </w:r>
      <w:r w:rsidR="00F11BB4">
        <w:rPr>
          <w:rFonts w:eastAsia="Times New Roman" w:cstheme="minorHAnsi"/>
          <w:bCs/>
          <w:color w:val="FF0000"/>
          <w:lang w:eastAsia="pl-PL"/>
        </w:rPr>
        <w:t xml:space="preserve">prowadzonych przez Zamawiającego </w:t>
      </w:r>
      <w:r w:rsidR="00AF740B">
        <w:rPr>
          <w:rFonts w:eastAsia="Times New Roman" w:cstheme="minorHAnsi"/>
          <w:bCs/>
          <w:color w:val="FF0000"/>
          <w:lang w:eastAsia="pl-PL"/>
        </w:rPr>
        <w:t xml:space="preserve">poprzednich postępowań dotyczących zakupu środków czystości, ręczników, worków na śmieci oraz koncentratów i </w:t>
      </w:r>
      <w:proofErr w:type="spellStart"/>
      <w:r w:rsidR="00AF740B">
        <w:rPr>
          <w:rFonts w:eastAsia="Times New Roman" w:cstheme="minorHAnsi"/>
          <w:bCs/>
          <w:color w:val="FF0000"/>
          <w:lang w:eastAsia="pl-PL"/>
        </w:rPr>
        <w:t>superkoncentratów</w:t>
      </w:r>
      <w:proofErr w:type="spellEnd"/>
      <w:r w:rsidR="00AF740B">
        <w:rPr>
          <w:rFonts w:eastAsia="Times New Roman" w:cstheme="minorHAnsi"/>
          <w:bCs/>
          <w:color w:val="FF0000"/>
          <w:lang w:eastAsia="pl-PL"/>
        </w:rPr>
        <w:t xml:space="preserve"> </w:t>
      </w:r>
      <w:r w:rsidR="00D44C10">
        <w:rPr>
          <w:rFonts w:eastAsia="Times New Roman" w:cstheme="minorHAnsi"/>
          <w:bCs/>
          <w:color w:val="FF0000"/>
          <w:lang w:eastAsia="pl-PL"/>
        </w:rPr>
        <w:t>(Zamawiający,</w:t>
      </w:r>
      <w:r w:rsidR="00F11BB4">
        <w:rPr>
          <w:rFonts w:eastAsia="Times New Roman" w:cstheme="minorHAnsi"/>
          <w:bCs/>
          <w:color w:val="FF0000"/>
          <w:lang w:eastAsia="pl-PL"/>
        </w:rPr>
        <w:t xml:space="preserve"> będący SPZOZ, zamawia je</w:t>
      </w:r>
      <w:r w:rsidR="00D44C10">
        <w:rPr>
          <w:rFonts w:eastAsia="Times New Roman" w:cstheme="minorHAnsi"/>
          <w:bCs/>
          <w:color w:val="FF0000"/>
          <w:lang w:eastAsia="pl-PL"/>
        </w:rPr>
        <w:t xml:space="preserve"> od wielu lat) doprowadziła bowiem Zamawiającego do wniosku, że nie wszyscy </w:t>
      </w:r>
      <w:r w:rsidR="00503F0F">
        <w:rPr>
          <w:rFonts w:eastAsia="Times New Roman" w:cstheme="minorHAnsi"/>
          <w:bCs/>
          <w:color w:val="FF0000"/>
          <w:lang w:eastAsia="pl-PL"/>
        </w:rPr>
        <w:t xml:space="preserve">potencjalni Wykonawcy dysponują specjalistycznymi koncentratami i </w:t>
      </w:r>
      <w:proofErr w:type="spellStart"/>
      <w:r w:rsidR="00503F0F">
        <w:rPr>
          <w:rFonts w:eastAsia="Times New Roman" w:cstheme="minorHAnsi"/>
          <w:bCs/>
          <w:color w:val="FF0000"/>
          <w:lang w:eastAsia="pl-PL"/>
        </w:rPr>
        <w:t>superkoncentratami</w:t>
      </w:r>
      <w:proofErr w:type="spellEnd"/>
      <w:r w:rsidR="00503F0F">
        <w:rPr>
          <w:rFonts w:eastAsia="Times New Roman" w:cstheme="minorHAnsi"/>
          <w:bCs/>
          <w:color w:val="FF0000"/>
          <w:lang w:eastAsia="pl-PL"/>
        </w:rPr>
        <w:t xml:space="preserve"> do czy</w:t>
      </w:r>
      <w:r w:rsidR="00FF1DC1">
        <w:rPr>
          <w:rFonts w:eastAsia="Times New Roman" w:cstheme="minorHAnsi"/>
          <w:bCs/>
          <w:color w:val="FF0000"/>
          <w:lang w:eastAsia="pl-PL"/>
        </w:rPr>
        <w:t>szczenia, s</w:t>
      </w:r>
      <w:r w:rsidR="00503F0F">
        <w:rPr>
          <w:rFonts w:eastAsia="Times New Roman" w:cstheme="minorHAnsi"/>
          <w:bCs/>
          <w:color w:val="FF0000"/>
          <w:lang w:eastAsia="pl-PL"/>
        </w:rPr>
        <w:t>tąd wy</w:t>
      </w:r>
      <w:r w:rsidR="00FF1DC1">
        <w:rPr>
          <w:rFonts w:eastAsia="Times New Roman" w:cstheme="minorHAnsi"/>
          <w:bCs/>
          <w:color w:val="FF0000"/>
          <w:lang w:eastAsia="pl-PL"/>
        </w:rPr>
        <w:t>dzielone zostały ona do odrębnego pakietu</w:t>
      </w:r>
      <w:r w:rsidR="00503F0F">
        <w:rPr>
          <w:rFonts w:eastAsia="Times New Roman" w:cstheme="minorHAnsi"/>
          <w:bCs/>
          <w:color w:val="FF0000"/>
          <w:lang w:eastAsia="pl-PL"/>
        </w:rPr>
        <w:t xml:space="preserve">. </w:t>
      </w:r>
      <w:r w:rsidR="00BC75C8">
        <w:rPr>
          <w:rFonts w:eastAsia="Times New Roman" w:cstheme="minorHAnsi"/>
          <w:bCs/>
          <w:color w:val="FF0000"/>
          <w:lang w:eastAsia="pl-PL"/>
        </w:rPr>
        <w:t>Jednocześnie ta sama analiza rynku wskazuje, że przeważająca większość potencjalnych Wykonawców</w:t>
      </w:r>
      <w:r w:rsidR="00AA6746">
        <w:rPr>
          <w:rFonts w:eastAsia="Times New Roman" w:cstheme="minorHAnsi"/>
          <w:bCs/>
          <w:color w:val="FF0000"/>
          <w:lang w:eastAsia="pl-PL"/>
        </w:rPr>
        <w:t>, należący do sektora MŚP,</w:t>
      </w:r>
      <w:r w:rsidR="00BC75C8">
        <w:rPr>
          <w:rFonts w:eastAsia="Times New Roman" w:cstheme="minorHAnsi"/>
          <w:bCs/>
          <w:color w:val="FF0000"/>
          <w:lang w:eastAsia="pl-PL"/>
        </w:rPr>
        <w:t xml:space="preserve"> ma w swym asortymencie pozostałe objęte niniejszym postępowaniem </w:t>
      </w:r>
      <w:r w:rsidR="00FF1DC1">
        <w:rPr>
          <w:rFonts w:eastAsia="Times New Roman" w:cstheme="minorHAnsi"/>
          <w:bCs/>
          <w:color w:val="FF0000"/>
          <w:lang w:eastAsia="pl-PL"/>
        </w:rPr>
        <w:t xml:space="preserve">towary, stąd nie ma potrzeby wydzielania niektórych z nich do osobnego pakietu. </w:t>
      </w:r>
      <w:r w:rsidR="00503F0F">
        <w:rPr>
          <w:rFonts w:eastAsia="Times New Roman" w:cstheme="minorHAnsi"/>
          <w:bCs/>
          <w:color w:val="FF0000"/>
          <w:lang w:eastAsia="pl-PL"/>
        </w:rPr>
        <w:t xml:space="preserve"> </w:t>
      </w:r>
    </w:p>
    <w:p w:rsidR="00D46F3E" w:rsidRDefault="004A6434" w:rsidP="008B162F">
      <w:pPr>
        <w:jc w:val="both"/>
        <w:rPr>
          <w:rFonts w:eastAsia="Times New Roman" w:cstheme="minorHAnsi"/>
          <w:bCs/>
          <w:color w:val="FF0000"/>
          <w:lang w:eastAsia="pl-PL"/>
        </w:rPr>
      </w:pPr>
      <w:r>
        <w:rPr>
          <w:rFonts w:eastAsia="Times New Roman" w:cstheme="minorHAnsi"/>
          <w:bCs/>
          <w:color w:val="FF0000"/>
          <w:lang w:eastAsia="pl-PL"/>
        </w:rPr>
        <w:t xml:space="preserve">Podsumowując, biorąc pod uwagę, z jednej strony, </w:t>
      </w:r>
      <w:r w:rsidR="001814A2">
        <w:rPr>
          <w:rFonts w:eastAsia="Times New Roman" w:cstheme="minorHAnsi"/>
          <w:bCs/>
          <w:color w:val="FF0000"/>
          <w:lang w:eastAsia="pl-PL"/>
        </w:rPr>
        <w:t xml:space="preserve">przyjęty przez Zamawiającego </w:t>
      </w:r>
      <w:r>
        <w:rPr>
          <w:rFonts w:eastAsia="Times New Roman" w:cstheme="minorHAnsi"/>
          <w:bCs/>
          <w:color w:val="FF0000"/>
          <w:lang w:eastAsia="pl-PL"/>
        </w:rPr>
        <w:t>zakres podziału zamówienia na części, a z drugiej oferowany prze</w:t>
      </w:r>
      <w:r w:rsidR="009F3ACA">
        <w:rPr>
          <w:rFonts w:eastAsia="Times New Roman" w:cstheme="minorHAnsi"/>
          <w:bCs/>
          <w:color w:val="FF0000"/>
          <w:lang w:eastAsia="pl-PL"/>
        </w:rPr>
        <w:t>z potencjalnych Wykonawców</w:t>
      </w:r>
      <w:r>
        <w:rPr>
          <w:rFonts w:eastAsia="Times New Roman" w:cstheme="minorHAnsi"/>
          <w:bCs/>
          <w:color w:val="FF0000"/>
          <w:lang w:eastAsia="pl-PL"/>
        </w:rPr>
        <w:t xml:space="preserve"> asortyment</w:t>
      </w:r>
      <w:r w:rsidR="009F3ACA">
        <w:rPr>
          <w:rFonts w:eastAsia="Times New Roman" w:cstheme="minorHAnsi"/>
          <w:bCs/>
          <w:color w:val="FF0000"/>
          <w:lang w:eastAsia="pl-PL"/>
        </w:rPr>
        <w:t xml:space="preserve"> towarów</w:t>
      </w:r>
      <w:r>
        <w:rPr>
          <w:rFonts w:eastAsia="Times New Roman" w:cstheme="minorHAnsi"/>
          <w:bCs/>
          <w:color w:val="FF0000"/>
          <w:lang w:eastAsia="pl-PL"/>
        </w:rPr>
        <w:t xml:space="preserve">, </w:t>
      </w:r>
      <w:r w:rsidR="009F3ACA">
        <w:rPr>
          <w:rFonts w:eastAsia="Times New Roman" w:cstheme="minorHAnsi"/>
          <w:bCs/>
          <w:color w:val="FF0000"/>
          <w:lang w:eastAsia="pl-PL"/>
        </w:rPr>
        <w:t xml:space="preserve">zdaniem Zamawiającego </w:t>
      </w:r>
      <w:r>
        <w:rPr>
          <w:rFonts w:eastAsia="Times New Roman" w:cstheme="minorHAnsi"/>
          <w:bCs/>
          <w:color w:val="FF0000"/>
          <w:lang w:eastAsia="pl-PL"/>
        </w:rPr>
        <w:t xml:space="preserve">nie istnieje ryzyko ograniczenia </w:t>
      </w:r>
      <w:r w:rsidR="009F3ACA">
        <w:rPr>
          <w:rFonts w:eastAsia="Times New Roman" w:cstheme="minorHAnsi"/>
          <w:bCs/>
          <w:color w:val="FF0000"/>
          <w:lang w:eastAsia="pl-PL"/>
        </w:rPr>
        <w:t>MŚP dostępu do</w:t>
      </w:r>
      <w:r w:rsidR="00AA6746">
        <w:rPr>
          <w:rFonts w:eastAsia="Times New Roman" w:cstheme="minorHAnsi"/>
          <w:bCs/>
          <w:color w:val="FF0000"/>
          <w:lang w:eastAsia="pl-PL"/>
        </w:rPr>
        <w:t xml:space="preserve"> przedmiotowego zamówienia, a co za tym idzie, narusz</w:t>
      </w:r>
      <w:r w:rsidR="00D46F3E">
        <w:rPr>
          <w:rFonts w:eastAsia="Times New Roman" w:cstheme="minorHAnsi"/>
          <w:bCs/>
          <w:color w:val="FF0000"/>
          <w:lang w:eastAsia="pl-PL"/>
        </w:rPr>
        <w:t>enia zasady uczciwej</w:t>
      </w:r>
      <w:r w:rsidR="00AA6746">
        <w:rPr>
          <w:rFonts w:eastAsia="Times New Roman" w:cstheme="minorHAnsi"/>
          <w:bCs/>
          <w:color w:val="FF0000"/>
          <w:lang w:eastAsia="pl-PL"/>
        </w:rPr>
        <w:t xml:space="preserve"> konkurencji</w:t>
      </w:r>
      <w:r w:rsidR="00D46F3E">
        <w:rPr>
          <w:rFonts w:eastAsia="Times New Roman" w:cstheme="minorHAnsi"/>
          <w:bCs/>
          <w:color w:val="FF0000"/>
          <w:lang w:eastAsia="pl-PL"/>
        </w:rPr>
        <w:t xml:space="preserve"> i równego traktowania wykonawców</w:t>
      </w:r>
      <w:r w:rsidR="00AA6746">
        <w:rPr>
          <w:rFonts w:eastAsia="Times New Roman" w:cstheme="minorHAnsi"/>
          <w:bCs/>
          <w:color w:val="FF0000"/>
          <w:lang w:eastAsia="pl-PL"/>
        </w:rPr>
        <w:t xml:space="preserve">, o której mowa w art. 16 </w:t>
      </w:r>
      <w:r w:rsidR="00D46F3E">
        <w:rPr>
          <w:rFonts w:eastAsia="Times New Roman" w:cstheme="minorHAnsi"/>
          <w:bCs/>
          <w:color w:val="FF0000"/>
          <w:lang w:eastAsia="pl-PL"/>
        </w:rPr>
        <w:t xml:space="preserve">pkt 1) </w:t>
      </w:r>
      <w:r w:rsidR="00AA6746">
        <w:rPr>
          <w:rFonts w:eastAsia="Times New Roman" w:cstheme="minorHAnsi"/>
          <w:bCs/>
          <w:color w:val="FF0000"/>
          <w:lang w:eastAsia="pl-PL"/>
        </w:rPr>
        <w:t>UPZP.</w:t>
      </w:r>
    </w:p>
    <w:p w:rsidR="00616D3E" w:rsidRPr="00DD167B" w:rsidRDefault="00D46F3E" w:rsidP="00616D3E">
      <w:pPr>
        <w:pStyle w:val="NormalnyWeb"/>
        <w:shd w:val="clear" w:color="auto" w:fill="FFFFFF"/>
        <w:spacing w:before="0" w:beforeAutospacing="0" w:after="144" w:afterAutospacing="0"/>
        <w:jc w:val="both"/>
        <w:rPr>
          <w:i/>
          <w:color w:val="FF0000"/>
        </w:rPr>
      </w:pPr>
      <w:r w:rsidRPr="00616D3E">
        <w:rPr>
          <w:rFonts w:eastAsia="Times New Roman" w:cstheme="minorHAnsi"/>
          <w:bCs/>
          <w:color w:val="FF0000"/>
        </w:rPr>
        <w:t xml:space="preserve">Przeciwnie, </w:t>
      </w:r>
      <w:r w:rsidR="00D2702D" w:rsidRPr="00616D3E">
        <w:rPr>
          <w:rFonts w:eastAsia="Times New Roman" w:cstheme="minorHAnsi"/>
          <w:bCs/>
          <w:color w:val="FF0000"/>
        </w:rPr>
        <w:t xml:space="preserve">zbyt daleko idące rozdrobnienie zamówienia mogłoby przynieść odmienne od zamierzonych skutki, bowiem </w:t>
      </w:r>
      <w:r w:rsidR="00CD466E">
        <w:rPr>
          <w:rFonts w:eastAsia="Times New Roman" w:cstheme="minorHAnsi"/>
          <w:bCs/>
          <w:color w:val="FF0000"/>
        </w:rPr>
        <w:t>zamówienie takie</w:t>
      </w:r>
      <w:r w:rsidR="00E8544A">
        <w:rPr>
          <w:rFonts w:eastAsia="Times New Roman" w:cstheme="minorHAnsi"/>
          <w:bCs/>
          <w:color w:val="FF0000"/>
        </w:rPr>
        <w:t>, jako mało opłacalne,</w:t>
      </w:r>
      <w:r w:rsidR="00CD466E">
        <w:rPr>
          <w:rFonts w:eastAsia="Times New Roman" w:cstheme="minorHAnsi"/>
          <w:bCs/>
          <w:color w:val="FF0000"/>
        </w:rPr>
        <w:t xml:space="preserve"> </w:t>
      </w:r>
      <w:r w:rsidR="00D2702D" w:rsidRPr="00616D3E">
        <w:rPr>
          <w:rFonts w:eastAsia="Times New Roman" w:cstheme="minorHAnsi"/>
          <w:bCs/>
          <w:color w:val="FF0000"/>
        </w:rPr>
        <w:t xml:space="preserve">mogłoby się stać mniej atrakcyjne </w:t>
      </w:r>
      <w:r w:rsidR="00616D3E" w:rsidRPr="00616D3E">
        <w:rPr>
          <w:rFonts w:eastAsia="Times New Roman" w:cstheme="minorHAnsi"/>
          <w:bCs/>
          <w:color w:val="FF0000"/>
        </w:rPr>
        <w:t>zwłaszcza dla średnich przedsiębiorstw. Na powyższy problem zwraca uwagę m.in.</w:t>
      </w:r>
      <w:r w:rsidR="00E8544A">
        <w:rPr>
          <w:rFonts w:eastAsia="Times New Roman" w:cstheme="minorHAnsi"/>
          <w:bCs/>
          <w:color w:val="FF0000"/>
        </w:rPr>
        <w:t xml:space="preserve"> J. Sadowy, który</w:t>
      </w:r>
      <w:r w:rsidR="00616D3E" w:rsidRPr="00616D3E">
        <w:rPr>
          <w:rFonts w:eastAsia="Times New Roman" w:cstheme="minorHAnsi"/>
          <w:bCs/>
          <w:color w:val="FF0000"/>
        </w:rPr>
        <w:t xml:space="preserve"> podkreśla, że </w:t>
      </w:r>
      <w:r w:rsidR="00616D3E" w:rsidRPr="00616D3E">
        <w:rPr>
          <w:rFonts w:eastAsia="Times New Roman" w:cstheme="minorHAnsi"/>
          <w:bCs/>
          <w:i/>
          <w:color w:val="FF0000"/>
        </w:rPr>
        <w:t>„</w:t>
      </w:r>
      <w:r w:rsidR="00616D3E" w:rsidRPr="00616D3E">
        <w:rPr>
          <w:i/>
          <w:color w:val="FF0000"/>
        </w:rPr>
        <w:t xml:space="preserve">Wprawdzie obowiązek rozważenia podziału zamówienia na części na płaszczyźnie regulacji </w:t>
      </w:r>
      <w:proofErr w:type="spellStart"/>
      <w:r w:rsidR="00616D3E" w:rsidRPr="00616D3E">
        <w:rPr>
          <w:i/>
          <w:color w:val="FF0000"/>
        </w:rPr>
        <w:t>ZamPublU</w:t>
      </w:r>
      <w:proofErr w:type="spellEnd"/>
      <w:r w:rsidR="00616D3E" w:rsidRPr="00616D3E">
        <w:rPr>
          <w:i/>
          <w:color w:val="FF0000"/>
        </w:rPr>
        <w:t xml:space="preserve"> formułowany jest w odniesieniu do wszystkich zamówień, niemniej jednak fakt, czy zamówienie jest „duże”, czy „małe”, w świetle celu uchwalanych norm, ma zasadnicze znaczenie dla oceny zasadności i racjonalności podziału danego zamówienia na części. Tam, gdzie zamówienie jest „małe”, samo w sobie jest już ono dostosowane do potrzeb MŚP. Dokonywanie podziału zamówień „małych” jest zatem niecelowe. Co więcej, podział taki mógłby przynieść odmienne od zamierzonych przez prawodawcę skutki dla konkurencyjności postępowania i racjonalności dokonywanych wydatków, albowiem, jeśli zamówienie zostanie zbyt rozdrobnione, to może ono przestać być atrakcyjne także dla MŚP.</w:t>
      </w:r>
      <w:r w:rsidR="00DD167B">
        <w:rPr>
          <w:i/>
          <w:color w:val="FF0000"/>
        </w:rPr>
        <w:t xml:space="preserve"> </w:t>
      </w:r>
      <w:r w:rsidR="00616D3E" w:rsidRPr="00616D3E">
        <w:rPr>
          <w:i/>
          <w:color w:val="FF0000"/>
        </w:rPr>
        <w:t>Tym samym za wystarczające uzasadnienie dla braku podziału zamówienia na mniejsze części należy uznać fakt niskiej wartości udzielanego zamówienia. Po pierwsze: przedmiot zamówienia jest dostosowany do potrzeb MŚP. Po drugie: dalszy podział zamówienia rodzi ryzyko ograniczenia konkurencji, który może skutkować koniecznością unieważnienia postępowania na niektóre lub wszystkie części udzielanego zamówienia. Po trzecie, ryzyko unieważnienia prowadzi do generowania niepotrzebnych kosztów związanych z obowiązkiem prowadzenia kolejnych procedur oraz może utrudniać realizację zadań publicznych.”</w:t>
      </w:r>
      <w:r w:rsidR="00616D3E" w:rsidRPr="00616D3E">
        <w:rPr>
          <w:color w:val="FF0000"/>
        </w:rPr>
        <w:t xml:space="preserve"> (J. Sadowy. Uzasadnienie braku podziału zamówienia na części. </w:t>
      </w:r>
      <w:proofErr w:type="spellStart"/>
      <w:r w:rsidR="00616D3E" w:rsidRPr="00616D3E">
        <w:rPr>
          <w:color w:val="FF0000"/>
        </w:rPr>
        <w:t>Legalis</w:t>
      </w:r>
      <w:proofErr w:type="spellEnd"/>
      <w:r w:rsidR="00616D3E" w:rsidRPr="00616D3E">
        <w:rPr>
          <w:color w:val="FF0000"/>
        </w:rPr>
        <w:t xml:space="preserve"> 2017). </w:t>
      </w:r>
    </w:p>
    <w:p w:rsidR="004A6434" w:rsidRDefault="00B851C4" w:rsidP="008B162F">
      <w:pPr>
        <w:jc w:val="both"/>
        <w:rPr>
          <w:color w:val="FF0000"/>
        </w:rPr>
      </w:pPr>
      <w:r>
        <w:rPr>
          <w:rFonts w:eastAsia="Times New Roman" w:cstheme="minorHAnsi"/>
          <w:bCs/>
          <w:color w:val="FF0000"/>
          <w:lang w:eastAsia="pl-PL"/>
        </w:rPr>
        <w:t xml:space="preserve">Zdaniem Zamawiającego również kryterium ilościowe, o którym mowa w motywie </w:t>
      </w:r>
      <w:r w:rsidRPr="00E14B85">
        <w:rPr>
          <w:color w:val="FF0000"/>
        </w:rPr>
        <w:t>78 wspomnianej Dyrektywy 2014/04/UE</w:t>
      </w:r>
      <w:r>
        <w:rPr>
          <w:color w:val="FF0000"/>
        </w:rPr>
        <w:t xml:space="preserve">, nie daje podstaw do podziału omawianego zamówienia na części. Nie wydaje się bowiem, by wielkość zamówienia stanowiła problem dla potencjalnych Wykonawców z sektora </w:t>
      </w:r>
      <w:r w:rsidR="000E4973">
        <w:rPr>
          <w:color w:val="FF0000"/>
        </w:rPr>
        <w:t>MŚP, tym bardziej, że zamówienie</w:t>
      </w:r>
      <w:r>
        <w:rPr>
          <w:color w:val="FF0000"/>
        </w:rPr>
        <w:t xml:space="preserve"> dotyczy dostaw sukcesywnych, a więc rozłożonych w czasie. Powyższego problemu nie sygnalizował z resztą sam Wykonawca, który złożył omawiane pytania. </w:t>
      </w:r>
    </w:p>
    <w:p w:rsidR="00863116" w:rsidRDefault="00863116" w:rsidP="00863116">
      <w:pPr>
        <w:jc w:val="both"/>
        <w:rPr>
          <w:rFonts w:eastAsia="Times New Roman" w:cstheme="minorHAnsi"/>
          <w:bCs/>
          <w:color w:val="FF0000"/>
          <w:lang w:eastAsia="pl-PL"/>
        </w:rPr>
      </w:pPr>
      <w:r>
        <w:rPr>
          <w:color w:val="FF0000"/>
        </w:rPr>
        <w:t xml:space="preserve">Podsumowując, zdaniem Zamawiającego również w odniesieniu do omawianego kryterium nie została naruszona zasada </w:t>
      </w:r>
      <w:r>
        <w:rPr>
          <w:rFonts w:eastAsia="Times New Roman" w:cstheme="minorHAnsi"/>
          <w:bCs/>
          <w:color w:val="FF0000"/>
          <w:lang w:eastAsia="pl-PL"/>
        </w:rPr>
        <w:t>uczciwej konkurencji i równego traktowania wykonawców, o której mowa w art. 16 pkt 1) UPZP.</w:t>
      </w:r>
    </w:p>
    <w:p w:rsidR="00F07572" w:rsidRDefault="00863116" w:rsidP="00CF5B1E">
      <w:pPr>
        <w:spacing w:after="120" w:line="240" w:lineRule="auto"/>
        <w:jc w:val="both"/>
        <w:rPr>
          <w:rFonts w:cstheme="minorHAnsi"/>
          <w:color w:val="FF0000"/>
          <w:shd w:val="clear" w:color="auto" w:fill="FFFFFF"/>
        </w:rPr>
      </w:pPr>
      <w:r w:rsidRPr="005573F0">
        <w:rPr>
          <w:rFonts w:eastAsia="Times New Roman" w:cstheme="minorHAnsi"/>
          <w:bCs/>
          <w:color w:val="FF0000"/>
          <w:lang w:eastAsia="pl-PL"/>
        </w:rPr>
        <w:t>Co ważne, w ramach wniesionych pytań Wykonawca nie precyzuje jakimi kryteriami Zamawiający miałby się kierować wydzielając do osobnego pakietu akurat te, a nie inne pozycje z cz. 1 zamówienia.</w:t>
      </w:r>
      <w:r w:rsidR="006D0BD6" w:rsidRPr="005573F0">
        <w:rPr>
          <w:rFonts w:eastAsia="Times New Roman" w:cstheme="minorHAnsi"/>
          <w:bCs/>
          <w:color w:val="FF0000"/>
          <w:lang w:eastAsia="pl-PL"/>
        </w:rPr>
        <w:t xml:space="preserve"> </w:t>
      </w:r>
      <w:r w:rsidR="000F45C5">
        <w:rPr>
          <w:rFonts w:eastAsia="Times New Roman" w:cstheme="minorHAnsi"/>
          <w:bCs/>
          <w:color w:val="FF0000"/>
          <w:lang w:eastAsia="pl-PL"/>
        </w:rPr>
        <w:t xml:space="preserve">W </w:t>
      </w:r>
      <w:r w:rsidR="00AC0FC1">
        <w:rPr>
          <w:rFonts w:eastAsia="Times New Roman" w:cstheme="minorHAnsi"/>
          <w:bCs/>
          <w:color w:val="FF0000"/>
          <w:lang w:eastAsia="pl-PL"/>
        </w:rPr>
        <w:t>odniesieniu d</w:t>
      </w:r>
      <w:r w:rsidR="00A31BF2">
        <w:rPr>
          <w:rFonts w:eastAsia="Times New Roman" w:cstheme="minorHAnsi"/>
          <w:bCs/>
          <w:color w:val="FF0000"/>
          <w:lang w:eastAsia="pl-PL"/>
        </w:rPr>
        <w:t>o</w:t>
      </w:r>
      <w:r w:rsidR="00AC0FC1">
        <w:rPr>
          <w:rFonts w:eastAsia="Times New Roman" w:cstheme="minorHAnsi"/>
          <w:bCs/>
          <w:color w:val="FF0000"/>
          <w:lang w:eastAsia="pl-PL"/>
        </w:rPr>
        <w:t xml:space="preserve"> tego typu sytuacji zwraca się uwagę </w:t>
      </w:r>
      <w:r w:rsidR="003C4275" w:rsidRPr="005573F0">
        <w:rPr>
          <w:rFonts w:eastAsia="Times New Roman" w:cstheme="minorHAnsi"/>
          <w:bCs/>
          <w:color w:val="FF0000"/>
          <w:lang w:eastAsia="pl-PL"/>
        </w:rPr>
        <w:t>w orzecznictwie,</w:t>
      </w:r>
      <w:r w:rsidR="00AC0FC1">
        <w:rPr>
          <w:rFonts w:eastAsia="Times New Roman" w:cstheme="minorHAnsi"/>
          <w:bCs/>
          <w:color w:val="FF0000"/>
          <w:lang w:eastAsia="pl-PL"/>
        </w:rPr>
        <w:t xml:space="preserve"> że </w:t>
      </w:r>
      <w:r w:rsidR="003C4275" w:rsidRPr="005573F0">
        <w:rPr>
          <w:rFonts w:eastAsia="Times New Roman" w:cstheme="minorHAnsi"/>
          <w:bCs/>
          <w:i/>
          <w:color w:val="FF0000"/>
          <w:lang w:eastAsia="pl-PL"/>
        </w:rPr>
        <w:t>„</w:t>
      </w:r>
      <w:r w:rsidR="003C4275" w:rsidRPr="005573F0">
        <w:rPr>
          <w:rFonts w:cstheme="minorHAnsi"/>
          <w:i/>
          <w:color w:val="FF0000"/>
          <w:shd w:val="clear" w:color="auto" w:fill="FFFFFF"/>
        </w:rPr>
        <w:t xml:space="preserve">Wywód Odwołującego i jego żądanie co do wydzielenia jednego, konkretnego modułu był nieprzekonywujący również z tego powodu, że stanowił jedynie jeden z wielu możliwych scenariuszy dokonania podziału zamówienia (pakietu nr 2) na dowolne, mniejsze moduły. Jak wskazywał sam Odwołujący każdy z nich przeznaczony był dla innych użytkowników </w:t>
      </w:r>
      <w:r w:rsidR="00933B5A">
        <w:rPr>
          <w:rFonts w:cstheme="minorHAnsi"/>
          <w:i/>
          <w:color w:val="FF0000"/>
          <w:shd w:val="clear" w:color="auto" w:fill="FFFFFF"/>
        </w:rPr>
        <w:t>Kliniki</w:t>
      </w:r>
      <w:r w:rsidR="003C4275" w:rsidRPr="005573F0">
        <w:rPr>
          <w:rFonts w:cstheme="minorHAnsi"/>
          <w:i/>
          <w:color w:val="FF0000"/>
          <w:shd w:val="clear" w:color="auto" w:fill="FFFFFF"/>
        </w:rPr>
        <w:t xml:space="preserve">(personelu w placówce, pacjentów w placówce, pacjentów korzystających z systemu przez </w:t>
      </w:r>
      <w:proofErr w:type="spellStart"/>
      <w:r w:rsidR="003C4275" w:rsidRPr="005573F0">
        <w:rPr>
          <w:rFonts w:cstheme="minorHAnsi"/>
          <w:i/>
          <w:color w:val="FF0000"/>
          <w:shd w:val="clear" w:color="auto" w:fill="FFFFFF"/>
        </w:rPr>
        <w:t>internet</w:t>
      </w:r>
      <w:proofErr w:type="spellEnd"/>
      <w:r w:rsidR="003C4275" w:rsidRPr="005573F0">
        <w:rPr>
          <w:rFonts w:cstheme="minorHAnsi"/>
          <w:i/>
          <w:color w:val="FF0000"/>
          <w:shd w:val="clear" w:color="auto" w:fill="FFFFFF"/>
        </w:rPr>
        <w:t>), a zatem możliwym był również taki scenariusz, iż Zamawiający wydzieli jako odrębne części wszystkie z modułów składających się na pakiet nr 2.”</w:t>
      </w:r>
      <w:r w:rsidR="003C4275" w:rsidRPr="005573F0">
        <w:rPr>
          <w:rFonts w:cstheme="minorHAnsi"/>
          <w:color w:val="FF0000"/>
          <w:shd w:val="clear" w:color="auto" w:fill="FFFFFF"/>
        </w:rPr>
        <w:t xml:space="preserve"> (wyr. KIO z dnia 10.11.2017 r., KIO 2236/17, </w:t>
      </w:r>
      <w:proofErr w:type="spellStart"/>
      <w:r w:rsidR="003C4275" w:rsidRPr="005573F0">
        <w:rPr>
          <w:rFonts w:cstheme="minorHAnsi"/>
          <w:color w:val="FF0000"/>
          <w:shd w:val="clear" w:color="auto" w:fill="FFFFFF"/>
        </w:rPr>
        <w:t>Legalis</w:t>
      </w:r>
      <w:proofErr w:type="spellEnd"/>
      <w:r w:rsidR="003C4275" w:rsidRPr="005573F0">
        <w:rPr>
          <w:rFonts w:cstheme="minorHAnsi"/>
          <w:color w:val="FF0000"/>
          <w:shd w:val="clear" w:color="auto" w:fill="FFFFFF"/>
        </w:rPr>
        <w:t xml:space="preserve">). </w:t>
      </w:r>
    </w:p>
    <w:p w:rsidR="00CF5B1E" w:rsidRDefault="00F07572" w:rsidP="00CF5B1E">
      <w:pPr>
        <w:spacing w:after="120" w:line="240" w:lineRule="auto"/>
        <w:jc w:val="both"/>
        <w:rPr>
          <w:rFonts w:cstheme="minorHAnsi"/>
          <w:color w:val="FF0000"/>
          <w:shd w:val="clear" w:color="auto" w:fill="FFFFFF"/>
        </w:rPr>
      </w:pPr>
      <w:r>
        <w:rPr>
          <w:rFonts w:eastAsia="Times New Roman" w:cstheme="minorHAnsi"/>
          <w:bCs/>
          <w:color w:val="FF0000"/>
          <w:lang w:eastAsia="pl-PL"/>
        </w:rPr>
        <w:t xml:space="preserve">Wydaje się, że jedynym </w:t>
      </w:r>
      <w:r w:rsidR="006D0BD6" w:rsidRPr="005573F0">
        <w:rPr>
          <w:rFonts w:eastAsia="Times New Roman" w:cstheme="minorHAnsi"/>
          <w:bCs/>
          <w:color w:val="FF0000"/>
          <w:lang w:eastAsia="pl-PL"/>
        </w:rPr>
        <w:t>kryterium</w:t>
      </w:r>
      <w:r w:rsidR="000A032E">
        <w:rPr>
          <w:rFonts w:eastAsia="Times New Roman" w:cstheme="minorHAnsi"/>
          <w:bCs/>
          <w:color w:val="FF0000"/>
          <w:lang w:eastAsia="pl-PL"/>
        </w:rPr>
        <w:t xml:space="preserve">, na podstawie którego Wykonawca domaga się </w:t>
      </w:r>
      <w:r>
        <w:rPr>
          <w:rFonts w:eastAsia="Times New Roman" w:cstheme="minorHAnsi"/>
          <w:bCs/>
          <w:color w:val="FF0000"/>
          <w:lang w:eastAsia="pl-PL"/>
        </w:rPr>
        <w:t>wydzieleni</w:t>
      </w:r>
      <w:r w:rsidR="000A032E">
        <w:rPr>
          <w:rFonts w:eastAsia="Times New Roman" w:cstheme="minorHAnsi"/>
          <w:bCs/>
          <w:color w:val="FF0000"/>
          <w:lang w:eastAsia="pl-PL"/>
        </w:rPr>
        <w:t>a</w:t>
      </w:r>
      <w:r>
        <w:rPr>
          <w:rFonts w:eastAsia="Times New Roman" w:cstheme="minorHAnsi"/>
          <w:bCs/>
          <w:color w:val="FF0000"/>
          <w:lang w:eastAsia="pl-PL"/>
        </w:rPr>
        <w:t xml:space="preserve"> </w:t>
      </w:r>
      <w:r w:rsidR="000A032E">
        <w:rPr>
          <w:rFonts w:eastAsia="Times New Roman" w:cstheme="minorHAnsi"/>
          <w:bCs/>
          <w:color w:val="FF0000"/>
          <w:lang w:eastAsia="pl-PL"/>
        </w:rPr>
        <w:t xml:space="preserve">określonych </w:t>
      </w:r>
      <w:r>
        <w:rPr>
          <w:rFonts w:eastAsia="Times New Roman" w:cstheme="minorHAnsi"/>
          <w:bCs/>
          <w:color w:val="FF0000"/>
          <w:lang w:eastAsia="pl-PL"/>
        </w:rPr>
        <w:t xml:space="preserve">towarów do osobnego pakietu, </w:t>
      </w:r>
      <w:r w:rsidR="006D0BD6" w:rsidRPr="005573F0">
        <w:rPr>
          <w:rFonts w:eastAsia="Times New Roman" w:cstheme="minorHAnsi"/>
          <w:bCs/>
          <w:color w:val="FF0000"/>
          <w:lang w:eastAsia="pl-PL"/>
        </w:rPr>
        <w:t xml:space="preserve">jest </w:t>
      </w:r>
      <w:r>
        <w:rPr>
          <w:rFonts w:eastAsia="Times New Roman" w:cstheme="minorHAnsi"/>
          <w:bCs/>
          <w:color w:val="FF0000"/>
          <w:lang w:eastAsia="pl-PL"/>
        </w:rPr>
        <w:t xml:space="preserve">jego własny interes. Należy zauważyć, że </w:t>
      </w:r>
      <w:r w:rsidR="006D0BD6" w:rsidRPr="005573F0">
        <w:rPr>
          <w:rFonts w:eastAsia="Times New Roman" w:cstheme="minorHAnsi"/>
          <w:bCs/>
          <w:color w:val="FF0000"/>
          <w:lang w:eastAsia="pl-PL"/>
        </w:rPr>
        <w:t>w ramach zadanych pytań</w:t>
      </w:r>
      <w:r w:rsidR="00DC34DC">
        <w:rPr>
          <w:rFonts w:eastAsia="Times New Roman" w:cstheme="minorHAnsi"/>
          <w:bCs/>
          <w:color w:val="FF0000"/>
          <w:lang w:eastAsia="pl-PL"/>
        </w:rPr>
        <w:t xml:space="preserve"> Wykonawca</w:t>
      </w:r>
      <w:r w:rsidR="006D0BD6" w:rsidRPr="005573F0">
        <w:rPr>
          <w:rFonts w:eastAsia="Times New Roman" w:cstheme="minorHAnsi"/>
          <w:bCs/>
          <w:color w:val="FF0000"/>
          <w:lang w:eastAsia="pl-PL"/>
        </w:rPr>
        <w:t xml:space="preserve"> stara się uzyskać zgodę Zamawiającego na dostawę </w:t>
      </w:r>
      <w:r w:rsidR="00DC34DC">
        <w:rPr>
          <w:rFonts w:eastAsia="Times New Roman" w:cstheme="minorHAnsi"/>
          <w:bCs/>
          <w:color w:val="FF0000"/>
          <w:lang w:eastAsia="pl-PL"/>
        </w:rPr>
        <w:t xml:space="preserve">zamienników w odniesieniu do dokładnie tych produktów, które </w:t>
      </w:r>
      <w:r w:rsidR="0067232F">
        <w:rPr>
          <w:rFonts w:eastAsia="Times New Roman" w:cstheme="minorHAnsi"/>
          <w:bCs/>
          <w:color w:val="FF0000"/>
          <w:lang w:eastAsia="pl-PL"/>
        </w:rPr>
        <w:t xml:space="preserve">jednocześnie </w:t>
      </w:r>
      <w:r w:rsidR="00DC34DC">
        <w:rPr>
          <w:rFonts w:eastAsia="Times New Roman" w:cstheme="minorHAnsi"/>
          <w:bCs/>
          <w:color w:val="FF0000"/>
          <w:lang w:eastAsia="pl-PL"/>
        </w:rPr>
        <w:t>chce wydzielić</w:t>
      </w:r>
      <w:r w:rsidR="004F32B2" w:rsidRPr="005573F0">
        <w:rPr>
          <w:rFonts w:eastAsia="Times New Roman" w:cstheme="minorHAnsi"/>
          <w:bCs/>
          <w:color w:val="FF0000"/>
          <w:lang w:eastAsia="pl-PL"/>
        </w:rPr>
        <w:t xml:space="preserve"> </w:t>
      </w:r>
      <w:r w:rsidR="00DC34DC">
        <w:rPr>
          <w:rFonts w:eastAsia="Times New Roman" w:cstheme="minorHAnsi"/>
          <w:bCs/>
          <w:color w:val="FF0000"/>
          <w:lang w:eastAsia="pl-PL"/>
        </w:rPr>
        <w:t xml:space="preserve">do </w:t>
      </w:r>
      <w:r w:rsidR="004F32B2" w:rsidRPr="005573F0">
        <w:rPr>
          <w:rFonts w:eastAsia="Times New Roman" w:cstheme="minorHAnsi"/>
          <w:bCs/>
          <w:color w:val="FF0000"/>
          <w:lang w:eastAsia="pl-PL"/>
        </w:rPr>
        <w:t>osobnego pakietu.</w:t>
      </w:r>
      <w:r w:rsidR="00863116" w:rsidRPr="005573F0">
        <w:rPr>
          <w:rFonts w:eastAsia="Times New Roman" w:cstheme="minorHAnsi"/>
          <w:bCs/>
          <w:color w:val="FF0000"/>
          <w:lang w:eastAsia="pl-PL"/>
        </w:rPr>
        <w:t xml:space="preserve"> </w:t>
      </w:r>
      <w:r w:rsidR="003C4275" w:rsidRPr="005573F0">
        <w:rPr>
          <w:rFonts w:eastAsia="Times New Roman" w:cstheme="minorHAnsi"/>
          <w:bCs/>
          <w:color w:val="FF0000"/>
          <w:lang w:eastAsia="pl-PL"/>
        </w:rPr>
        <w:t xml:space="preserve">W związku z powyższym należy podkreślić, że </w:t>
      </w:r>
      <w:r w:rsidR="003C4275" w:rsidRPr="005573F0">
        <w:rPr>
          <w:rFonts w:eastAsia="Times New Roman" w:cstheme="minorHAnsi"/>
          <w:bCs/>
          <w:i/>
          <w:color w:val="FF0000"/>
          <w:lang w:eastAsia="pl-PL"/>
        </w:rPr>
        <w:t>„</w:t>
      </w:r>
      <w:r w:rsidR="003C4275" w:rsidRPr="005573F0">
        <w:rPr>
          <w:rFonts w:eastAsia="Times New Roman" w:cstheme="minorHAnsi"/>
          <w:i/>
          <w:color w:val="FF0000"/>
          <w:shd w:val="clear" w:color="auto" w:fill="FFFFFF"/>
          <w:lang w:eastAsia="pl-PL"/>
        </w:rPr>
        <w:t xml:space="preserve">ustawodawca nie przewidział w </w:t>
      </w:r>
      <w:proofErr w:type="spellStart"/>
      <w:r w:rsidR="003C4275" w:rsidRPr="005573F0">
        <w:rPr>
          <w:rFonts w:eastAsia="Times New Roman" w:cstheme="minorHAnsi"/>
          <w:i/>
          <w:color w:val="FF0000"/>
          <w:shd w:val="clear" w:color="auto" w:fill="FFFFFF"/>
          <w:lang w:eastAsia="pl-PL"/>
        </w:rPr>
        <w:t>ZamPublU</w:t>
      </w:r>
      <w:proofErr w:type="spellEnd"/>
      <w:r w:rsidR="003C4275" w:rsidRPr="005573F0">
        <w:rPr>
          <w:rFonts w:eastAsia="Times New Roman" w:cstheme="minorHAnsi"/>
          <w:i/>
          <w:color w:val="FF0000"/>
          <w:shd w:val="clear" w:color="auto" w:fill="FFFFFF"/>
          <w:lang w:eastAsia="pl-PL"/>
        </w:rPr>
        <w:t xml:space="preserve"> uregulowania instytucji podziału zamówienia na części w sposób, który byłby dogodny jedynie dla niektórych wykonawców z przyczyn technologicznych, funkcjonalnych czy organizacyjnych, w oderwaniu od analogicznych potrzeb Zamawiającego.”</w:t>
      </w:r>
      <w:r w:rsidR="003C4275" w:rsidRPr="005573F0">
        <w:rPr>
          <w:rFonts w:eastAsia="Times New Roman" w:cstheme="minorHAnsi"/>
          <w:color w:val="FF0000"/>
          <w:shd w:val="clear" w:color="auto" w:fill="FFFFFF"/>
          <w:lang w:eastAsia="pl-PL"/>
        </w:rPr>
        <w:t xml:space="preserve"> (wyr. KIO z dnia </w:t>
      </w:r>
      <w:r w:rsidR="00CF5B1E" w:rsidRPr="005573F0">
        <w:rPr>
          <w:rFonts w:eastAsia="Times New Roman" w:cstheme="minorHAnsi"/>
          <w:color w:val="FF0000"/>
          <w:shd w:val="clear" w:color="auto" w:fill="FFFFFF"/>
          <w:lang w:eastAsia="pl-PL"/>
        </w:rPr>
        <w:t xml:space="preserve">09.01.2019 r., KIO 2629/18, </w:t>
      </w:r>
      <w:proofErr w:type="spellStart"/>
      <w:r w:rsidR="00CF5B1E" w:rsidRPr="005573F0">
        <w:rPr>
          <w:rFonts w:eastAsia="Times New Roman" w:cstheme="minorHAnsi"/>
          <w:color w:val="FF0000"/>
          <w:shd w:val="clear" w:color="auto" w:fill="FFFFFF"/>
          <w:lang w:eastAsia="pl-PL"/>
        </w:rPr>
        <w:t>Legalis</w:t>
      </w:r>
      <w:proofErr w:type="spellEnd"/>
      <w:r w:rsidR="00CF5B1E" w:rsidRPr="005573F0">
        <w:rPr>
          <w:rFonts w:eastAsia="Times New Roman" w:cstheme="minorHAnsi"/>
          <w:color w:val="FF0000"/>
          <w:shd w:val="clear" w:color="auto" w:fill="FFFFFF"/>
          <w:lang w:eastAsia="pl-PL"/>
        </w:rPr>
        <w:t xml:space="preserve">). </w:t>
      </w:r>
      <w:r w:rsidR="00CF5B1E" w:rsidRPr="005573F0">
        <w:rPr>
          <w:rFonts w:eastAsia="Times New Roman" w:cstheme="minorHAnsi"/>
          <w:i/>
          <w:color w:val="FF0000"/>
          <w:shd w:val="clear" w:color="auto" w:fill="FFFFFF"/>
          <w:lang w:eastAsia="pl-PL"/>
        </w:rPr>
        <w:t>„</w:t>
      </w:r>
      <w:r w:rsidR="00CF5B1E" w:rsidRPr="005573F0">
        <w:rPr>
          <w:rFonts w:cstheme="minorHAnsi"/>
          <w:i/>
          <w:color w:val="FF0000"/>
          <w:shd w:val="clear" w:color="auto" w:fill="FFFFFF"/>
        </w:rPr>
        <w:t>Jak słusznie wskazała Izba w wyroku z dnia 30 stycznia 2013 r., sygn. akt KIO 114/13, zasady uczciwej konkurencji i równego traktowania wykonawców nie można postrzegać w ten sposób, że dogodne dla wykonawców warunki wykonania zamówienia, jego zakres mogą przysłonić uzasadnione potrzeby zamawiającego (w zaistniałej sytuacji zwiększenie kosztów zamówienia).</w:t>
      </w:r>
      <w:r w:rsidR="005573F0">
        <w:rPr>
          <w:rFonts w:cstheme="minorHAnsi"/>
          <w:i/>
          <w:color w:val="FF0000"/>
          <w:shd w:val="clear" w:color="auto" w:fill="FFFFFF"/>
        </w:rPr>
        <w:t xml:space="preserve"> </w:t>
      </w:r>
      <w:r w:rsidR="00CF5B1E" w:rsidRPr="005573F0">
        <w:rPr>
          <w:rFonts w:cstheme="minorHAnsi"/>
          <w:i/>
          <w:color w:val="FF0000"/>
          <w:shd w:val="clear" w:color="auto" w:fill="FFFFFF"/>
        </w:rPr>
        <w:t xml:space="preserve">Wskazać należy, że odwołujący nie udowodnił w żaden sposób, dlaczego zamawiający, miałby podzielić zamówienie na części i czy taka decyzja zamawiającego znajdzie swoje wymierne uzasadnienie, w tym czy będzie związana z obniżeniem środków przeznaczonych na realizację zamówienia, nie spowoduje znacznego utrudnienia w obsłudze tak realizowanych zamówień (częściowych), w tym organizacyjno-technicznych, np. związanych z koniecznością zatrudnienia dodatkowych osób nadzorujących realizacje tych kontraktów.” </w:t>
      </w:r>
      <w:r w:rsidR="00CF5B1E" w:rsidRPr="005573F0">
        <w:rPr>
          <w:rFonts w:cstheme="minorHAnsi"/>
          <w:color w:val="FF0000"/>
          <w:shd w:val="clear" w:color="auto" w:fill="FFFFFF"/>
        </w:rPr>
        <w:t xml:space="preserve">(wyr. KIO z dnia 23.05.2017 r., KIO </w:t>
      </w:r>
      <w:r w:rsidR="005573F0" w:rsidRPr="005573F0">
        <w:rPr>
          <w:rFonts w:cstheme="minorHAnsi"/>
          <w:color w:val="FF0000"/>
          <w:shd w:val="clear" w:color="auto" w:fill="FFFFFF"/>
        </w:rPr>
        <w:t xml:space="preserve">920/17, </w:t>
      </w:r>
      <w:proofErr w:type="spellStart"/>
      <w:r w:rsidR="005573F0" w:rsidRPr="005573F0">
        <w:rPr>
          <w:rFonts w:cstheme="minorHAnsi"/>
          <w:color w:val="FF0000"/>
          <w:shd w:val="clear" w:color="auto" w:fill="FFFFFF"/>
        </w:rPr>
        <w:t>Legalis</w:t>
      </w:r>
      <w:proofErr w:type="spellEnd"/>
      <w:r w:rsidR="005573F0" w:rsidRPr="005573F0">
        <w:rPr>
          <w:rFonts w:cstheme="minorHAnsi"/>
          <w:color w:val="FF0000"/>
          <w:shd w:val="clear" w:color="auto" w:fill="FFFFFF"/>
        </w:rPr>
        <w:t xml:space="preserve">). </w:t>
      </w:r>
    </w:p>
    <w:p w:rsidR="00402DC1" w:rsidRDefault="00A4018F" w:rsidP="00CF5B1E">
      <w:pPr>
        <w:spacing w:after="120" w:line="240" w:lineRule="auto"/>
        <w:jc w:val="both"/>
        <w:rPr>
          <w:rFonts w:cstheme="minorHAnsi"/>
          <w:color w:val="FF0000"/>
          <w:shd w:val="clear" w:color="auto" w:fill="FFFFFF"/>
        </w:rPr>
      </w:pPr>
      <w:r>
        <w:rPr>
          <w:rFonts w:cstheme="minorHAnsi"/>
          <w:color w:val="FF0000"/>
          <w:shd w:val="clear" w:color="auto" w:fill="FFFFFF"/>
        </w:rPr>
        <w:t xml:space="preserve">W końcu nie powinno umknąć uwadze, ze w omawianym wypadku podział zamówienia na dalsze części nie byłby </w:t>
      </w:r>
      <w:r w:rsidR="0080459D">
        <w:rPr>
          <w:rFonts w:cstheme="minorHAnsi"/>
          <w:color w:val="FF0000"/>
          <w:shd w:val="clear" w:color="auto" w:fill="FFFFFF"/>
        </w:rPr>
        <w:t>uz</w:t>
      </w:r>
      <w:r>
        <w:rPr>
          <w:rFonts w:cstheme="minorHAnsi"/>
          <w:color w:val="FF0000"/>
          <w:shd w:val="clear" w:color="auto" w:fill="FFFFFF"/>
        </w:rPr>
        <w:t>a</w:t>
      </w:r>
      <w:r w:rsidR="0080459D">
        <w:rPr>
          <w:rFonts w:cstheme="minorHAnsi"/>
          <w:color w:val="FF0000"/>
          <w:shd w:val="clear" w:color="auto" w:fill="FFFFFF"/>
        </w:rPr>
        <w:t>sa</w:t>
      </w:r>
      <w:r>
        <w:rPr>
          <w:rFonts w:cstheme="minorHAnsi"/>
          <w:color w:val="FF0000"/>
          <w:shd w:val="clear" w:color="auto" w:fill="FFFFFF"/>
        </w:rPr>
        <w:t xml:space="preserve">dniony interesem lub rzeczywistymi potrzebami Zamawiającego. Przeciwnie, </w:t>
      </w:r>
      <w:r w:rsidR="00321846">
        <w:rPr>
          <w:rFonts w:cstheme="minorHAnsi"/>
          <w:color w:val="FF0000"/>
          <w:shd w:val="clear" w:color="auto" w:fill="FFFFFF"/>
        </w:rPr>
        <w:t xml:space="preserve">nie tylko zwiększyłby on koszty </w:t>
      </w:r>
      <w:r w:rsidR="00420E86">
        <w:rPr>
          <w:rFonts w:cstheme="minorHAnsi"/>
          <w:color w:val="FF0000"/>
          <w:shd w:val="clear" w:color="auto" w:fill="FFFFFF"/>
        </w:rPr>
        <w:t>prowadzenia samego postępowania, ja</w:t>
      </w:r>
      <w:r w:rsidR="00321846">
        <w:rPr>
          <w:rFonts w:cstheme="minorHAnsi"/>
          <w:color w:val="FF0000"/>
          <w:shd w:val="clear" w:color="auto" w:fill="FFFFFF"/>
        </w:rPr>
        <w:t>k też koszty</w:t>
      </w:r>
      <w:r w:rsidR="00957AAA">
        <w:rPr>
          <w:rFonts w:cstheme="minorHAnsi"/>
          <w:color w:val="FF0000"/>
          <w:shd w:val="clear" w:color="auto" w:fill="FFFFFF"/>
        </w:rPr>
        <w:t xml:space="preserve"> wykonania zawartych</w:t>
      </w:r>
      <w:r w:rsidR="00420E86">
        <w:rPr>
          <w:rFonts w:cstheme="minorHAnsi"/>
          <w:color w:val="FF0000"/>
          <w:shd w:val="clear" w:color="auto" w:fill="FFFFFF"/>
        </w:rPr>
        <w:t xml:space="preserve"> w jego wyniku </w:t>
      </w:r>
      <w:r w:rsidR="00321846">
        <w:rPr>
          <w:rFonts w:cstheme="minorHAnsi"/>
          <w:color w:val="FF0000"/>
          <w:shd w:val="clear" w:color="auto" w:fill="FFFFFF"/>
        </w:rPr>
        <w:t>umów, ale też</w:t>
      </w:r>
      <w:r w:rsidR="00420E86">
        <w:rPr>
          <w:rFonts w:cstheme="minorHAnsi"/>
          <w:color w:val="FF0000"/>
          <w:shd w:val="clear" w:color="auto" w:fill="FFFFFF"/>
        </w:rPr>
        <w:t xml:space="preserve"> </w:t>
      </w:r>
      <w:r w:rsidR="00321846">
        <w:rPr>
          <w:rFonts w:cstheme="minorHAnsi"/>
          <w:color w:val="FF0000"/>
          <w:shd w:val="clear" w:color="auto" w:fill="FFFFFF"/>
        </w:rPr>
        <w:t xml:space="preserve">zrodziłby on po </w:t>
      </w:r>
      <w:r w:rsidR="00827490">
        <w:rPr>
          <w:rFonts w:cstheme="minorHAnsi"/>
          <w:color w:val="FF0000"/>
          <w:shd w:val="clear" w:color="auto" w:fill="FFFFFF"/>
        </w:rPr>
        <w:t>stronie Zamawiającego i</w:t>
      </w:r>
      <w:r w:rsidR="005765AD">
        <w:rPr>
          <w:rFonts w:cstheme="minorHAnsi"/>
          <w:color w:val="FF0000"/>
          <w:shd w:val="clear" w:color="auto" w:fill="FFFFFF"/>
        </w:rPr>
        <w:t xml:space="preserve">stotne trudności organizacyjne. </w:t>
      </w:r>
      <w:r w:rsidR="001527B3">
        <w:rPr>
          <w:rFonts w:cstheme="minorHAnsi"/>
          <w:color w:val="FF0000"/>
          <w:shd w:val="clear" w:color="auto" w:fill="FFFFFF"/>
        </w:rPr>
        <w:t xml:space="preserve">Zamawiający musiałby </w:t>
      </w:r>
      <w:r w:rsidR="005765AD">
        <w:rPr>
          <w:rFonts w:cstheme="minorHAnsi"/>
          <w:color w:val="FF0000"/>
          <w:shd w:val="clear" w:color="auto" w:fill="FFFFFF"/>
        </w:rPr>
        <w:t xml:space="preserve">bowiem </w:t>
      </w:r>
      <w:r w:rsidR="001527B3">
        <w:rPr>
          <w:rFonts w:cstheme="minorHAnsi"/>
          <w:color w:val="FF0000"/>
          <w:shd w:val="clear" w:color="auto" w:fill="FFFFFF"/>
        </w:rPr>
        <w:t xml:space="preserve">koordynować </w:t>
      </w:r>
      <w:r w:rsidR="00492CE6">
        <w:rPr>
          <w:rFonts w:cstheme="minorHAnsi"/>
          <w:color w:val="FF0000"/>
          <w:shd w:val="clear" w:color="auto" w:fill="FFFFFF"/>
        </w:rPr>
        <w:t xml:space="preserve">sukcesywne </w:t>
      </w:r>
      <w:r w:rsidR="00827490">
        <w:rPr>
          <w:rFonts w:cstheme="minorHAnsi"/>
          <w:color w:val="FF0000"/>
          <w:shd w:val="clear" w:color="auto" w:fill="FFFFFF"/>
        </w:rPr>
        <w:t xml:space="preserve">zmówienia i dostawy </w:t>
      </w:r>
      <w:r w:rsidR="000871E1">
        <w:rPr>
          <w:rFonts w:cstheme="minorHAnsi"/>
          <w:color w:val="FF0000"/>
          <w:shd w:val="clear" w:color="auto" w:fill="FFFFFF"/>
        </w:rPr>
        <w:t xml:space="preserve">środków czystości </w:t>
      </w:r>
      <w:r w:rsidR="00827490">
        <w:rPr>
          <w:rFonts w:cstheme="minorHAnsi"/>
          <w:color w:val="FF0000"/>
          <w:shd w:val="clear" w:color="auto" w:fill="FFFFFF"/>
        </w:rPr>
        <w:t>od trzech</w:t>
      </w:r>
      <w:r w:rsidR="001527B3">
        <w:rPr>
          <w:rFonts w:cstheme="minorHAnsi"/>
          <w:color w:val="FF0000"/>
          <w:shd w:val="clear" w:color="auto" w:fill="FFFFFF"/>
        </w:rPr>
        <w:t xml:space="preserve"> Wykonawców</w:t>
      </w:r>
      <w:r w:rsidR="005765AD">
        <w:rPr>
          <w:rFonts w:cstheme="minorHAnsi"/>
          <w:color w:val="FF0000"/>
          <w:shd w:val="clear" w:color="auto" w:fill="FFFFFF"/>
        </w:rPr>
        <w:t>, za każdym razem oddelegowując do tego celu pracowników.</w:t>
      </w:r>
      <w:r w:rsidR="00492CE6">
        <w:rPr>
          <w:rFonts w:cstheme="minorHAnsi"/>
          <w:color w:val="FF0000"/>
          <w:shd w:val="clear" w:color="auto" w:fill="FFFFFF"/>
        </w:rPr>
        <w:t xml:space="preserve"> </w:t>
      </w:r>
      <w:r w:rsidR="00D965CA">
        <w:rPr>
          <w:rFonts w:cstheme="minorHAnsi"/>
          <w:color w:val="FF0000"/>
          <w:shd w:val="clear" w:color="auto" w:fill="FFFFFF"/>
        </w:rPr>
        <w:t xml:space="preserve">Problemem jest również fakt, że produkty, których wydzielenia domaga się Wykonawca, są ściśle powiązane z innymi produktami z cz. 1 zamówienia, a wszystkie one służą </w:t>
      </w:r>
      <w:r w:rsidR="000871E1">
        <w:rPr>
          <w:rFonts w:cstheme="minorHAnsi"/>
          <w:color w:val="FF0000"/>
          <w:shd w:val="clear" w:color="auto" w:fill="FFFFFF"/>
        </w:rPr>
        <w:t xml:space="preserve">utrzymaniu </w:t>
      </w:r>
      <w:r w:rsidR="009C443E">
        <w:rPr>
          <w:rFonts w:cstheme="minorHAnsi"/>
          <w:color w:val="FF0000"/>
          <w:shd w:val="clear" w:color="auto" w:fill="FFFFFF"/>
        </w:rPr>
        <w:t xml:space="preserve">czystości na terenie </w:t>
      </w:r>
      <w:r w:rsidR="00FD0BB5">
        <w:rPr>
          <w:rFonts w:cstheme="minorHAnsi"/>
          <w:color w:val="FF0000"/>
          <w:shd w:val="clear" w:color="auto" w:fill="FFFFFF"/>
        </w:rPr>
        <w:t>Kliniki</w:t>
      </w:r>
      <w:r w:rsidR="00161462">
        <w:rPr>
          <w:rFonts w:cstheme="minorHAnsi"/>
          <w:color w:val="FF0000"/>
          <w:shd w:val="clear" w:color="auto" w:fill="FFFFFF"/>
        </w:rPr>
        <w:t xml:space="preserve">. </w:t>
      </w:r>
      <w:r w:rsidR="003A5D5C">
        <w:rPr>
          <w:rFonts w:cstheme="minorHAnsi"/>
          <w:color w:val="FF0000"/>
          <w:shd w:val="clear" w:color="auto" w:fill="FFFFFF"/>
        </w:rPr>
        <w:t>Różne terminy dostawy tych środków, wynikające z zamawiania ich u różnych dostawców, m</w:t>
      </w:r>
      <w:r w:rsidR="0064263E">
        <w:rPr>
          <w:rFonts w:cstheme="minorHAnsi"/>
          <w:color w:val="FF0000"/>
          <w:shd w:val="clear" w:color="auto" w:fill="FFFFFF"/>
        </w:rPr>
        <w:t xml:space="preserve">ogą negatywnie wpłynąć na możliwość utrzymania czystości w </w:t>
      </w:r>
      <w:r w:rsidR="00FD0BB5">
        <w:rPr>
          <w:rFonts w:cstheme="minorHAnsi"/>
          <w:color w:val="FF0000"/>
          <w:shd w:val="clear" w:color="auto" w:fill="FFFFFF"/>
        </w:rPr>
        <w:t>Kliniki</w:t>
      </w:r>
      <w:r w:rsidR="0064263E">
        <w:rPr>
          <w:rFonts w:cstheme="minorHAnsi"/>
          <w:color w:val="FF0000"/>
          <w:shd w:val="clear" w:color="auto" w:fill="FFFFFF"/>
        </w:rPr>
        <w:t>, a co za tym idzie na poziom bezpieczeństwa pacjentów i pr</w:t>
      </w:r>
      <w:r w:rsidR="00FD529C">
        <w:rPr>
          <w:rFonts w:cstheme="minorHAnsi"/>
          <w:color w:val="FF0000"/>
          <w:shd w:val="clear" w:color="auto" w:fill="FFFFFF"/>
        </w:rPr>
        <w:t>acowników, co wydaje się kwestią</w:t>
      </w:r>
      <w:r w:rsidR="0064263E">
        <w:rPr>
          <w:rFonts w:cstheme="minorHAnsi"/>
          <w:color w:val="FF0000"/>
          <w:shd w:val="clear" w:color="auto" w:fill="FFFFFF"/>
        </w:rPr>
        <w:t xml:space="preserve"> szczególnie ważną w dobie pandemii COVID-19. </w:t>
      </w:r>
      <w:r w:rsidR="00B11B99">
        <w:rPr>
          <w:rFonts w:cstheme="minorHAnsi"/>
          <w:color w:val="FF0000"/>
          <w:shd w:val="clear" w:color="auto" w:fill="FFFFFF"/>
        </w:rPr>
        <w:t>Stanowisko tak</w:t>
      </w:r>
      <w:r w:rsidR="00A64C70">
        <w:rPr>
          <w:rFonts w:cstheme="minorHAnsi"/>
          <w:color w:val="FF0000"/>
          <w:shd w:val="clear" w:color="auto" w:fill="FFFFFF"/>
        </w:rPr>
        <w:t xml:space="preserve">ie znajduje oparcie w orzecznictwie, gdzie podkreśla się, że </w:t>
      </w:r>
      <w:r w:rsidR="00A64C70" w:rsidRPr="009801E1">
        <w:rPr>
          <w:i/>
          <w:color w:val="FF0000"/>
          <w:sz w:val="21"/>
          <w:szCs w:val="21"/>
          <w:shd w:val="clear" w:color="auto" w:fill="FFFFFF"/>
        </w:rPr>
        <w:t xml:space="preserve">„niewątpliwie kwestia podziału zamówienia na części wymaga każdorazowo indywidualnej analizy potrzeb Zamawiającego i celowości podziału. </w:t>
      </w:r>
      <w:r w:rsidR="00A64C70" w:rsidRPr="009801E1">
        <w:rPr>
          <w:i/>
          <w:color w:val="FF0000"/>
          <w:sz w:val="21"/>
          <w:szCs w:val="21"/>
          <w:u w:val="single"/>
          <w:shd w:val="clear" w:color="auto" w:fill="FFFFFF"/>
        </w:rPr>
        <w:t xml:space="preserve">Taki podział nie może odbywać się kosztem efektywności, czyli efektów jakie można zapewnić udzielnie zamówienia jednemu wykonawcy wybranemu w trybie </w:t>
      </w:r>
      <w:proofErr w:type="spellStart"/>
      <w:r w:rsidR="00A64C70" w:rsidRPr="009801E1">
        <w:rPr>
          <w:i/>
          <w:color w:val="FF0000"/>
          <w:sz w:val="21"/>
          <w:szCs w:val="21"/>
          <w:u w:val="single"/>
          <w:shd w:val="clear" w:color="auto" w:fill="FFFFFF"/>
        </w:rPr>
        <w:t>ZamPublU</w:t>
      </w:r>
      <w:proofErr w:type="spellEnd"/>
      <w:r w:rsidR="00A64C70" w:rsidRPr="009801E1">
        <w:rPr>
          <w:i/>
          <w:color w:val="FF0000"/>
          <w:sz w:val="21"/>
          <w:szCs w:val="21"/>
          <w:u w:val="single"/>
          <w:shd w:val="clear" w:color="auto" w:fill="FFFFFF"/>
        </w:rPr>
        <w:t>. Jednocześnie niewątpliwie konieczność zapewnienia dostępu do rynku zamówień publicznych małym i średnim przedsiębiorcom nie może być powodem dokonania podziału w sytuacji, gdy taki podział nie jest uzasadniony rzeczywistymi potrzebami Zamawiającego</w:t>
      </w:r>
      <w:r w:rsidR="00A64C70" w:rsidRPr="009801E1">
        <w:rPr>
          <w:i/>
          <w:color w:val="FF0000"/>
          <w:sz w:val="21"/>
          <w:szCs w:val="21"/>
          <w:shd w:val="clear" w:color="auto" w:fill="FFFFFF"/>
        </w:rPr>
        <w:t>.</w:t>
      </w:r>
      <w:r w:rsidR="00A64C70" w:rsidRPr="009801E1">
        <w:rPr>
          <w:rFonts w:cstheme="minorHAnsi"/>
          <w:i/>
          <w:color w:val="FF0000"/>
          <w:shd w:val="clear" w:color="auto" w:fill="FFFFFF"/>
        </w:rPr>
        <w:t>”</w:t>
      </w:r>
      <w:r w:rsidR="00A64C70">
        <w:rPr>
          <w:rFonts w:cstheme="minorHAnsi"/>
          <w:color w:val="FF0000"/>
          <w:shd w:val="clear" w:color="auto" w:fill="FFFFFF"/>
        </w:rPr>
        <w:t xml:space="preserve"> (wyr. KIO z 28.05.2019 r., KIO 864/19, </w:t>
      </w:r>
      <w:proofErr w:type="spellStart"/>
      <w:r w:rsidR="00A64C70">
        <w:rPr>
          <w:rFonts w:cstheme="minorHAnsi"/>
          <w:color w:val="FF0000"/>
          <w:shd w:val="clear" w:color="auto" w:fill="FFFFFF"/>
        </w:rPr>
        <w:t>Legalis</w:t>
      </w:r>
      <w:proofErr w:type="spellEnd"/>
      <w:r w:rsidR="00402DC1">
        <w:rPr>
          <w:rFonts w:cstheme="minorHAnsi"/>
          <w:color w:val="FF0000"/>
          <w:shd w:val="clear" w:color="auto" w:fill="FFFFFF"/>
        </w:rPr>
        <w:t>; por. również wyr. KIO z dnia 31.07.2017 r., KIO 1500/17</w:t>
      </w:r>
      <w:r w:rsidR="00A64C70">
        <w:rPr>
          <w:rFonts w:cstheme="minorHAnsi"/>
          <w:color w:val="FF0000"/>
          <w:shd w:val="clear" w:color="auto" w:fill="FFFFFF"/>
        </w:rPr>
        <w:t>).</w:t>
      </w:r>
    </w:p>
    <w:p w:rsidR="00646101" w:rsidRDefault="00646101" w:rsidP="00D8709C">
      <w:pPr>
        <w:spacing w:after="0" w:line="240" w:lineRule="auto"/>
        <w:jc w:val="both"/>
        <w:rPr>
          <w:b/>
          <w:i/>
          <w:color w:val="FF0000"/>
        </w:rPr>
      </w:pPr>
    </w:p>
    <w:p w:rsidR="00412AC2" w:rsidRPr="00034EB0" w:rsidRDefault="00412AC2" w:rsidP="00412AC2">
      <w:pPr>
        <w:spacing w:line="240" w:lineRule="auto"/>
        <w:jc w:val="both"/>
        <w:rPr>
          <w:rFonts w:cstheme="minorHAnsi"/>
        </w:rPr>
      </w:pPr>
      <w:r w:rsidRPr="00034EB0">
        <w:rPr>
          <w:rFonts w:cstheme="minorHAnsi"/>
        </w:rPr>
        <w:t>Jednocześnie Zamawiający na podstawie art. 286 ust. 3 ustawy zmienia:</w:t>
      </w:r>
    </w:p>
    <w:p w:rsidR="00412AC2" w:rsidRPr="00034EB0" w:rsidRDefault="00412AC2" w:rsidP="00412AC2">
      <w:pPr>
        <w:pStyle w:val="Akapitzlist"/>
        <w:numPr>
          <w:ilvl w:val="0"/>
          <w:numId w:val="24"/>
        </w:numPr>
        <w:spacing w:line="240" w:lineRule="auto"/>
        <w:jc w:val="both"/>
        <w:rPr>
          <w:rFonts w:cstheme="minorHAnsi"/>
        </w:rPr>
      </w:pPr>
      <w:r w:rsidRPr="00034EB0">
        <w:rPr>
          <w:rFonts w:cstheme="minorHAnsi"/>
        </w:rPr>
        <w:t xml:space="preserve">Termin składania ofert: z dnia </w:t>
      </w:r>
      <w:r w:rsidR="00646101">
        <w:rPr>
          <w:rFonts w:cstheme="minorHAnsi"/>
        </w:rPr>
        <w:t>23.04.</w:t>
      </w:r>
      <w:r w:rsidRPr="00034EB0">
        <w:rPr>
          <w:rFonts w:cstheme="minorHAnsi"/>
        </w:rPr>
        <w:t>2021r. godz. 1</w:t>
      </w:r>
      <w:r>
        <w:rPr>
          <w:rFonts w:cstheme="minorHAnsi"/>
        </w:rPr>
        <w:t>1</w:t>
      </w:r>
      <w:r w:rsidRPr="00034EB0">
        <w:rPr>
          <w:rFonts w:cstheme="minorHAnsi"/>
        </w:rPr>
        <w:t xml:space="preserve">.30 na </w:t>
      </w:r>
      <w:r w:rsidR="00646101">
        <w:rPr>
          <w:rFonts w:cstheme="minorHAnsi"/>
        </w:rPr>
        <w:t>2</w:t>
      </w:r>
      <w:r w:rsidR="00A31BF2">
        <w:rPr>
          <w:rFonts w:cstheme="minorHAnsi"/>
        </w:rPr>
        <w:t>6</w:t>
      </w:r>
      <w:r w:rsidR="00646101">
        <w:rPr>
          <w:rFonts w:cstheme="minorHAnsi"/>
        </w:rPr>
        <w:t>.04.</w:t>
      </w:r>
      <w:r w:rsidRPr="00034EB0">
        <w:rPr>
          <w:rFonts w:cstheme="minorHAnsi"/>
        </w:rPr>
        <w:t xml:space="preserve"> 2021r. godz. 1</w:t>
      </w:r>
      <w:r>
        <w:rPr>
          <w:rFonts w:cstheme="minorHAnsi"/>
        </w:rPr>
        <w:t>1</w:t>
      </w:r>
      <w:r w:rsidRPr="00034EB0">
        <w:rPr>
          <w:rFonts w:cstheme="minorHAnsi"/>
        </w:rPr>
        <w:t>.</w:t>
      </w:r>
      <w:r>
        <w:rPr>
          <w:rFonts w:cstheme="minorHAnsi"/>
        </w:rPr>
        <w:t>3</w:t>
      </w:r>
      <w:r w:rsidRPr="00034EB0">
        <w:rPr>
          <w:rFonts w:cstheme="minorHAnsi"/>
        </w:rPr>
        <w:t>0</w:t>
      </w:r>
    </w:p>
    <w:p w:rsidR="00412AC2" w:rsidRPr="00034EB0" w:rsidRDefault="00412AC2" w:rsidP="00412AC2">
      <w:pPr>
        <w:pStyle w:val="Akapitzlist"/>
        <w:numPr>
          <w:ilvl w:val="0"/>
          <w:numId w:val="24"/>
        </w:numPr>
        <w:spacing w:line="240" w:lineRule="auto"/>
        <w:jc w:val="both"/>
        <w:rPr>
          <w:rFonts w:cstheme="minorHAnsi"/>
        </w:rPr>
      </w:pPr>
      <w:r w:rsidRPr="00034EB0">
        <w:rPr>
          <w:rFonts w:cstheme="minorHAnsi"/>
        </w:rPr>
        <w:t xml:space="preserve">Termin otwarcia ofert: z dnia </w:t>
      </w:r>
      <w:r w:rsidR="00646101">
        <w:rPr>
          <w:rFonts w:cstheme="minorHAnsi"/>
        </w:rPr>
        <w:t>23.04.</w:t>
      </w:r>
      <w:r w:rsidRPr="00034EB0">
        <w:rPr>
          <w:rFonts w:cstheme="minorHAnsi"/>
        </w:rPr>
        <w:t xml:space="preserve"> 2021r. godz. 1</w:t>
      </w:r>
      <w:r>
        <w:rPr>
          <w:rFonts w:cstheme="minorHAnsi"/>
        </w:rPr>
        <w:t>2</w:t>
      </w:r>
      <w:r w:rsidRPr="00034EB0">
        <w:rPr>
          <w:rFonts w:cstheme="minorHAnsi"/>
        </w:rPr>
        <w:t xml:space="preserve">.00 na </w:t>
      </w:r>
      <w:r w:rsidR="00646101">
        <w:rPr>
          <w:rFonts w:cstheme="minorHAnsi"/>
        </w:rPr>
        <w:t>2</w:t>
      </w:r>
      <w:r w:rsidR="00A31BF2">
        <w:rPr>
          <w:rFonts w:cstheme="minorHAnsi"/>
        </w:rPr>
        <w:t>6</w:t>
      </w:r>
      <w:r w:rsidR="00646101">
        <w:rPr>
          <w:rFonts w:cstheme="minorHAnsi"/>
        </w:rPr>
        <w:t>.04.</w:t>
      </w:r>
      <w:r w:rsidRPr="00034EB0">
        <w:rPr>
          <w:rFonts w:cstheme="minorHAnsi"/>
        </w:rPr>
        <w:t xml:space="preserve"> 2021r. godz. 1</w:t>
      </w:r>
      <w:r>
        <w:rPr>
          <w:rFonts w:cstheme="minorHAnsi"/>
        </w:rPr>
        <w:t>2</w:t>
      </w:r>
      <w:r w:rsidRPr="00034EB0">
        <w:rPr>
          <w:rFonts w:cstheme="minorHAnsi"/>
        </w:rPr>
        <w:t>.00</w:t>
      </w:r>
    </w:p>
    <w:p w:rsidR="00412AC2" w:rsidRPr="00034EB0" w:rsidRDefault="00412AC2" w:rsidP="00412AC2">
      <w:pPr>
        <w:pStyle w:val="Akapitzlist"/>
        <w:spacing w:after="0" w:line="240" w:lineRule="auto"/>
        <w:jc w:val="both"/>
        <w:rPr>
          <w:rFonts w:eastAsia="Times New Roman" w:cstheme="minorHAnsi"/>
          <w:b/>
        </w:rPr>
      </w:pPr>
    </w:p>
    <w:p w:rsidR="00412AC2" w:rsidRPr="0029568F" w:rsidRDefault="00412AC2" w:rsidP="00412AC2">
      <w:pPr>
        <w:spacing w:line="240" w:lineRule="auto"/>
        <w:jc w:val="both"/>
        <w:rPr>
          <w:rFonts w:cstheme="minorHAnsi"/>
        </w:rPr>
      </w:pPr>
      <w:r w:rsidRPr="00034EB0">
        <w:rPr>
          <w:rFonts w:cstheme="minorHAnsi"/>
        </w:rPr>
        <w:t xml:space="preserve">Pozostałe zapisy </w:t>
      </w:r>
      <w:proofErr w:type="spellStart"/>
      <w:r w:rsidRPr="00034EB0">
        <w:rPr>
          <w:rFonts w:cstheme="minorHAnsi"/>
        </w:rPr>
        <w:t>swz</w:t>
      </w:r>
      <w:proofErr w:type="spellEnd"/>
      <w:r w:rsidRPr="00034EB0">
        <w:rPr>
          <w:rFonts w:cstheme="minorHAnsi"/>
        </w:rPr>
        <w:t xml:space="preserve"> pozostają bez zmian</w:t>
      </w:r>
      <w:r>
        <w:rPr>
          <w:rFonts w:cstheme="minorHAnsi"/>
        </w:rPr>
        <w:t>.</w:t>
      </w:r>
    </w:p>
    <w:p w:rsidR="00412AC2" w:rsidRPr="00412AC2" w:rsidRDefault="00412AC2" w:rsidP="00D8709C">
      <w:pPr>
        <w:spacing w:after="0" w:line="240" w:lineRule="auto"/>
        <w:jc w:val="both"/>
        <w:rPr>
          <w:rFonts w:eastAsia="Calibri" w:cstheme="minorHAnsi"/>
        </w:rPr>
      </w:pPr>
    </w:p>
    <w:bookmarkEnd w:id="39"/>
    <w:p w:rsidR="00F24696" w:rsidRPr="00F24696" w:rsidRDefault="00F24696" w:rsidP="00F24696">
      <w:pPr>
        <w:spacing w:after="0" w:line="360" w:lineRule="auto"/>
        <w:ind w:left="1985" w:firstLine="430"/>
        <w:jc w:val="center"/>
        <w:rPr>
          <w:rFonts w:ascii="Times New Roman" w:eastAsia="Times New Roman" w:hAnsi="Times New Roman" w:cs="Times New Roman"/>
          <w:sz w:val="16"/>
          <w:szCs w:val="16"/>
          <w:lang w:eastAsia="pl-PL"/>
        </w:rPr>
      </w:pPr>
      <w:r w:rsidRPr="00F24696">
        <w:rPr>
          <w:rFonts w:ascii="Times New Roman" w:eastAsia="Times New Roman" w:hAnsi="Times New Roman" w:cs="Times New Roman"/>
          <w:b/>
          <w:bCs/>
          <w:sz w:val="16"/>
          <w:szCs w:val="16"/>
          <w:lang w:eastAsia="pl-PL"/>
        </w:rPr>
        <w:t>DYREKTOR</w:t>
      </w:r>
    </w:p>
    <w:p w:rsidR="00F24696" w:rsidRPr="00F24696" w:rsidRDefault="00F24696" w:rsidP="00F24696">
      <w:pPr>
        <w:spacing w:after="0" w:line="360" w:lineRule="auto"/>
        <w:ind w:left="1985" w:firstLine="430"/>
        <w:jc w:val="center"/>
        <w:rPr>
          <w:rFonts w:ascii="Times New Roman" w:eastAsia="Times New Roman" w:hAnsi="Times New Roman" w:cs="Times New Roman"/>
          <w:sz w:val="16"/>
          <w:szCs w:val="16"/>
          <w:lang w:eastAsia="pl-PL"/>
        </w:rPr>
      </w:pPr>
      <w:r w:rsidRPr="00F24696">
        <w:rPr>
          <w:rFonts w:ascii="Times New Roman" w:eastAsia="Times New Roman" w:hAnsi="Times New Roman" w:cs="Times New Roman"/>
          <w:b/>
          <w:bCs/>
          <w:sz w:val="16"/>
          <w:szCs w:val="16"/>
          <w:lang w:eastAsia="pl-PL"/>
        </w:rPr>
        <w:t>Uniwersyteckiej Kliniki Stomatologicznej w Krakowie</w:t>
      </w:r>
    </w:p>
    <w:p w:rsidR="00F24696" w:rsidRPr="00F24696" w:rsidRDefault="00F24696" w:rsidP="00F24696">
      <w:pPr>
        <w:spacing w:after="0" w:line="360" w:lineRule="auto"/>
        <w:ind w:left="1985" w:firstLine="430"/>
        <w:jc w:val="center"/>
        <w:rPr>
          <w:rFonts w:ascii="Times New Roman" w:eastAsia="Times New Roman" w:hAnsi="Times New Roman" w:cs="Times New Roman"/>
          <w:sz w:val="16"/>
          <w:szCs w:val="16"/>
          <w:lang w:eastAsia="pl-PL"/>
        </w:rPr>
      </w:pPr>
    </w:p>
    <w:p w:rsidR="00F24696" w:rsidRPr="00F24696" w:rsidRDefault="00F24696" w:rsidP="00F24696">
      <w:pPr>
        <w:spacing w:after="0" w:line="360" w:lineRule="auto"/>
        <w:ind w:left="1985" w:firstLine="430"/>
        <w:jc w:val="center"/>
        <w:rPr>
          <w:rFonts w:ascii="Times New Roman" w:eastAsia="Times New Roman" w:hAnsi="Times New Roman" w:cs="Times New Roman"/>
          <w:b/>
          <w:bCs/>
          <w:sz w:val="16"/>
          <w:szCs w:val="16"/>
          <w:lang w:eastAsia="pl-PL"/>
        </w:rPr>
      </w:pPr>
      <w:r w:rsidRPr="00F24696">
        <w:rPr>
          <w:rFonts w:ascii="Times New Roman" w:eastAsia="Times New Roman" w:hAnsi="Times New Roman" w:cs="Times New Roman"/>
          <w:b/>
          <w:bCs/>
          <w:sz w:val="16"/>
          <w:szCs w:val="16"/>
          <w:lang w:eastAsia="pl-PL"/>
        </w:rPr>
        <w:t>Marek Szwarczyński</w:t>
      </w:r>
    </w:p>
    <w:p w:rsidR="00172165" w:rsidRPr="00172165" w:rsidRDefault="00172165" w:rsidP="00172165">
      <w:pPr>
        <w:spacing w:after="0" w:line="360" w:lineRule="auto"/>
        <w:ind w:left="1985" w:firstLine="430"/>
        <w:jc w:val="center"/>
        <w:rPr>
          <w:rFonts w:ascii="Times New Roman" w:eastAsia="Times New Roman" w:hAnsi="Times New Roman" w:cs="Times New Roman"/>
          <w:b/>
          <w:bCs/>
          <w:i/>
          <w:sz w:val="16"/>
          <w:szCs w:val="16"/>
          <w:lang w:eastAsia="pl-PL"/>
        </w:rPr>
      </w:pPr>
    </w:p>
    <w:p w:rsidR="008E6173" w:rsidRPr="0020799D" w:rsidRDefault="008E6173" w:rsidP="008E6173">
      <w:pPr>
        <w:spacing w:after="0" w:line="240" w:lineRule="auto"/>
        <w:ind w:left="4248" w:firstLine="708"/>
        <w:jc w:val="both"/>
        <w:rPr>
          <w:rFonts w:asciiTheme="majorHAnsi" w:eastAsia="Times New Roman" w:hAnsiTheme="majorHAnsi" w:cs="Arial"/>
          <w:sz w:val="24"/>
          <w:szCs w:val="24"/>
        </w:rPr>
      </w:pPr>
      <w:r w:rsidRPr="0020799D">
        <w:rPr>
          <w:rFonts w:asciiTheme="majorHAnsi" w:eastAsia="Times New Roman" w:hAnsiTheme="majorHAnsi" w:cs="Arial"/>
          <w:sz w:val="24"/>
          <w:szCs w:val="24"/>
        </w:rPr>
        <w:t>…………………………………….</w:t>
      </w:r>
    </w:p>
    <w:p w:rsidR="008E6173" w:rsidRPr="00CF4CF3" w:rsidRDefault="008E6173" w:rsidP="008E6173">
      <w:pPr>
        <w:spacing w:after="0" w:line="240" w:lineRule="auto"/>
        <w:ind w:left="4956"/>
        <w:jc w:val="both"/>
        <w:rPr>
          <w:rFonts w:asciiTheme="majorHAnsi" w:eastAsia="Times New Roman" w:hAnsiTheme="majorHAnsi" w:cs="Arial"/>
          <w:sz w:val="16"/>
          <w:szCs w:val="16"/>
        </w:rPr>
      </w:pPr>
      <w:r w:rsidRPr="00CF4CF3">
        <w:rPr>
          <w:rFonts w:asciiTheme="majorHAnsi" w:eastAsia="Times New Roman" w:hAnsiTheme="majorHAnsi" w:cs="Arial"/>
          <w:sz w:val="16"/>
          <w:szCs w:val="16"/>
        </w:rPr>
        <w:t>Kierownik zamawiającego lub osoba upoważniona do podejmowania czynności w jego imieniu</w:t>
      </w:r>
    </w:p>
    <w:p w:rsidR="008E6173" w:rsidRPr="005D4B76" w:rsidRDefault="008E6173" w:rsidP="008E6173">
      <w:pPr>
        <w:spacing w:after="0" w:line="240" w:lineRule="auto"/>
        <w:ind w:left="4956"/>
        <w:jc w:val="both"/>
        <w:rPr>
          <w:rFonts w:asciiTheme="majorHAnsi" w:eastAsia="Times New Roman" w:hAnsiTheme="majorHAnsi" w:cs="Arial"/>
          <w:sz w:val="18"/>
          <w:szCs w:val="18"/>
        </w:rPr>
      </w:pPr>
    </w:p>
    <w:sectPr w:rsidR="008E6173" w:rsidRPr="005D4B76" w:rsidSect="00FF6280">
      <w:headerReference w:type="default" r:id="rId13"/>
      <w:footerReference w:type="default" r:id="rId14"/>
      <w:headerReference w:type="first" r:id="rId15"/>
      <w:pgSz w:w="11906" w:h="16838"/>
      <w:pgMar w:top="164" w:right="1134" w:bottom="709" w:left="1134"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F9C" w:rsidRDefault="00932F9C" w:rsidP="00FB35FC">
      <w:pPr>
        <w:spacing w:after="0" w:line="240" w:lineRule="auto"/>
      </w:pPr>
      <w:r>
        <w:separator/>
      </w:r>
    </w:p>
  </w:endnote>
  <w:endnote w:type="continuationSeparator" w:id="0">
    <w:p w:rsidR="00932F9C" w:rsidRDefault="00932F9C" w:rsidP="00FB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723938"/>
      <w:docPartObj>
        <w:docPartGallery w:val="Page Numbers (Bottom of Page)"/>
        <w:docPartUnique/>
      </w:docPartObj>
    </w:sdtPr>
    <w:sdtEndPr/>
    <w:sdtContent>
      <w:p w:rsidR="00CD466E" w:rsidRDefault="000A201A">
        <w:pPr>
          <w:pStyle w:val="Stopka"/>
          <w:jc w:val="right"/>
        </w:pPr>
        <w:r>
          <w:fldChar w:fldCharType="begin"/>
        </w:r>
        <w:r>
          <w:instrText xml:space="preserve"> PAGE   \* MERGEFORMAT </w:instrText>
        </w:r>
        <w:r>
          <w:fldChar w:fldCharType="separate"/>
        </w:r>
        <w:r w:rsidR="006260A1">
          <w:rPr>
            <w:noProof/>
          </w:rPr>
          <w:t>9</w:t>
        </w:r>
        <w:r>
          <w:rPr>
            <w:noProof/>
          </w:rPr>
          <w:fldChar w:fldCharType="end"/>
        </w:r>
      </w:p>
    </w:sdtContent>
  </w:sdt>
  <w:p w:rsidR="00FF6280" w:rsidRDefault="00FF6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F9C" w:rsidRDefault="00932F9C" w:rsidP="00FB35FC">
      <w:pPr>
        <w:spacing w:after="0" w:line="240" w:lineRule="auto"/>
      </w:pPr>
      <w:r>
        <w:separator/>
      </w:r>
    </w:p>
  </w:footnote>
  <w:footnote w:type="continuationSeparator" w:id="0">
    <w:p w:rsidR="00932F9C" w:rsidRDefault="00932F9C" w:rsidP="00FB3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284" w:type="dxa"/>
      <w:tblLayout w:type="fixed"/>
      <w:tblLook w:val="01E0" w:firstRow="1" w:lastRow="1" w:firstColumn="1" w:lastColumn="1" w:noHBand="0" w:noVBand="0"/>
    </w:tblPr>
    <w:tblGrid>
      <w:gridCol w:w="3069"/>
      <w:gridCol w:w="6287"/>
    </w:tblGrid>
    <w:tr w:rsidR="00AC17E1" w:rsidTr="008E6173">
      <w:trPr>
        <w:trHeight w:val="291"/>
      </w:trPr>
      <w:tc>
        <w:tcPr>
          <w:tcW w:w="3069" w:type="dxa"/>
          <w:shd w:val="clear" w:color="auto" w:fill="auto"/>
        </w:tcPr>
        <w:p w:rsidR="00AC17E1" w:rsidRDefault="00AC17E1" w:rsidP="00AC17E1"/>
      </w:tc>
      <w:tc>
        <w:tcPr>
          <w:tcW w:w="6287" w:type="dxa"/>
          <w:shd w:val="clear" w:color="auto" w:fill="auto"/>
        </w:tcPr>
        <w:p w:rsidR="00AC17E1" w:rsidRPr="00AC17E1" w:rsidRDefault="00AC17E1" w:rsidP="00AC17E1">
          <w:pPr>
            <w:jc w:val="center"/>
            <w:rPr>
              <w:rFonts w:ascii="Verdana" w:hAnsi="Verdana"/>
              <w:sz w:val="20"/>
              <w:szCs w:val="20"/>
            </w:rPr>
          </w:pPr>
        </w:p>
      </w:tc>
    </w:tr>
  </w:tbl>
  <w:p w:rsidR="00FB35FC" w:rsidRPr="00CA3168" w:rsidRDefault="00FB35FC" w:rsidP="00117C4F">
    <w:pPr>
      <w:pStyle w:val="Nagwek"/>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2" w:type="dxa"/>
      <w:tblLayout w:type="fixed"/>
      <w:tblLook w:val="01E0" w:firstRow="1" w:lastRow="1" w:firstColumn="1" w:lastColumn="1" w:noHBand="0" w:noVBand="0"/>
    </w:tblPr>
    <w:tblGrid>
      <w:gridCol w:w="3119"/>
      <w:gridCol w:w="6973"/>
    </w:tblGrid>
    <w:tr w:rsidR="008E6173" w:rsidTr="00FF6280">
      <w:trPr>
        <w:trHeight w:val="1592"/>
      </w:trPr>
      <w:tc>
        <w:tcPr>
          <w:tcW w:w="3119" w:type="dxa"/>
          <w:shd w:val="clear" w:color="auto" w:fill="auto"/>
        </w:tcPr>
        <w:p w:rsidR="008E6173" w:rsidRDefault="008E6173" w:rsidP="008E6173">
          <w:r>
            <w:rPr>
              <w:noProof/>
              <w:lang w:eastAsia="pl-PL"/>
            </w:rPr>
            <w:drawing>
              <wp:inline distT="0" distB="0" distL="0" distR="0">
                <wp:extent cx="1076325" cy="1046006"/>
                <wp:effectExtent l="0" t="0" r="0" b="190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312" cy="1063487"/>
                        </a:xfrm>
                        <a:prstGeom prst="rect">
                          <a:avLst/>
                        </a:prstGeom>
                        <a:noFill/>
                        <a:ln>
                          <a:noFill/>
                        </a:ln>
                      </pic:spPr>
                    </pic:pic>
                  </a:graphicData>
                </a:graphic>
              </wp:inline>
            </w:drawing>
          </w:r>
        </w:p>
      </w:tc>
      <w:tc>
        <w:tcPr>
          <w:tcW w:w="6973" w:type="dxa"/>
          <w:shd w:val="clear" w:color="auto" w:fill="auto"/>
        </w:tcPr>
        <w:p w:rsidR="008E6173" w:rsidRPr="00AC17E1" w:rsidRDefault="008E6173" w:rsidP="008E6173">
          <w:pPr>
            <w:jc w:val="center"/>
            <w:rPr>
              <w:b/>
            </w:rPr>
          </w:pPr>
          <w:r w:rsidRPr="00AC17E1">
            <w:rPr>
              <w:b/>
            </w:rPr>
            <w:t>Uniwersytecka Klinika Stomatologiczna</w:t>
          </w:r>
        </w:p>
        <w:p w:rsidR="008E6173" w:rsidRPr="00AC17E1" w:rsidRDefault="008E6173" w:rsidP="008E6173">
          <w:pPr>
            <w:jc w:val="center"/>
            <w:rPr>
              <w:b/>
            </w:rPr>
          </w:pPr>
          <w:r w:rsidRPr="00AC17E1">
            <w:rPr>
              <w:b/>
            </w:rPr>
            <w:t>w Krakowie</w:t>
          </w:r>
        </w:p>
        <w:p w:rsidR="008E6173" w:rsidRPr="00AC17E1" w:rsidRDefault="008E6173" w:rsidP="008E6173">
          <w:pPr>
            <w:spacing w:line="360" w:lineRule="auto"/>
            <w:jc w:val="center"/>
            <w:rPr>
              <w:rFonts w:ascii="Verdana" w:hAnsi="Verdana"/>
              <w:sz w:val="20"/>
              <w:szCs w:val="20"/>
            </w:rPr>
          </w:pPr>
          <w:r w:rsidRPr="00AC17E1">
            <w:rPr>
              <w:rFonts w:ascii="Verdana" w:hAnsi="Verdana"/>
              <w:sz w:val="20"/>
              <w:szCs w:val="20"/>
            </w:rPr>
            <w:t>31-155 Kraków, ul. Montelupich 4</w:t>
          </w:r>
        </w:p>
        <w:p w:rsidR="008E6173" w:rsidRPr="00AC17E1" w:rsidRDefault="008E6173" w:rsidP="008E6173">
          <w:pPr>
            <w:jc w:val="center"/>
            <w:rPr>
              <w:rFonts w:ascii="Verdana" w:hAnsi="Verdana"/>
              <w:sz w:val="20"/>
              <w:szCs w:val="20"/>
            </w:rPr>
          </w:pPr>
          <w:r w:rsidRPr="00AC17E1">
            <w:rPr>
              <w:rFonts w:ascii="Verdana" w:hAnsi="Verdana"/>
              <w:sz w:val="20"/>
              <w:szCs w:val="20"/>
            </w:rPr>
            <w:t>tel. 012 424 54 24                  fax 012 424 54 90</w:t>
          </w:r>
          <w:r w:rsidR="00A31BF2">
            <w:rPr>
              <w:noProof/>
              <w:lang w:eastAsia="pl-PL"/>
            </w:rPr>
            <mc:AlternateContent>
              <mc:Choice Requires="wpc">
                <w:drawing>
                  <wp:inline distT="0" distB="0" distL="0" distR="0">
                    <wp:extent cx="4216400" cy="114300"/>
                    <wp:effectExtent l="19050" t="0" r="3175" b="19050"/>
                    <wp:docPr id="2" name="Kanwa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9"/>
                            <wps:cNvCnPr>
                              <a:cxnSpLocks noChangeShapeType="1"/>
                            </wps:cNvCnPr>
                            <wps:spPr bwMode="auto">
                              <a:xfrm>
                                <a:off x="0" y="114300"/>
                                <a:ext cx="4180800" cy="200"/>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9EB3424" id="Kanwa 33" o:spid="_x0000_s1026" editas="canvas" style="width:332pt;height:9pt;mso-position-horizontal-relative:char;mso-position-vertical-relative:line" coordsize="4216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64;height:1143;visibility:visible;mso-wrap-style:square">
                      <v:fill o:detectmouseclick="t"/>
                      <v:path o:connecttype="none"/>
                    </v:shape>
                    <v:line id="Line 9" o:spid="_x0000_s1028" style="position:absolute;visibility:visible;mso-wrap-style:square" from="0,1143" to="41808,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" strokecolor="#36f" strokeweight="2.25pt"/>
                    <w10:anchorlock/>
                  </v:group>
                </w:pict>
              </mc:Fallback>
            </mc:AlternateContent>
          </w:r>
        </w:p>
      </w:tc>
    </w:tr>
  </w:tbl>
  <w:p w:rsidR="008E6173" w:rsidRDefault="008E6173" w:rsidP="00FF62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C4325A"/>
    <w:lvl w:ilvl="0">
      <w:numFmt w:val="bullet"/>
      <w:lvlText w:val="*"/>
      <w:lvlJc w:val="left"/>
    </w:lvl>
  </w:abstractNum>
  <w:abstractNum w:abstractNumId="1" w15:restartNumberingAfterBreak="0">
    <w:nsid w:val="08834B9D"/>
    <w:multiLevelType w:val="hybridMultilevel"/>
    <w:tmpl w:val="FB463460"/>
    <w:lvl w:ilvl="0" w:tplc="742EA1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716273"/>
    <w:multiLevelType w:val="hybridMultilevel"/>
    <w:tmpl w:val="82DC9888"/>
    <w:lvl w:ilvl="0" w:tplc="182801A0">
      <w:start w:val="1"/>
      <w:numFmt w:val="decimal"/>
      <w:lvlText w:val="%1."/>
      <w:lvlJc w:val="left"/>
      <w:pPr>
        <w:ind w:left="720" w:hanging="360"/>
      </w:pPr>
      <w:rPr>
        <w:rFonts w:ascii="Times New Roman" w:eastAsia="Times New Roman" w:hAnsi="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A670DE"/>
    <w:multiLevelType w:val="multilevel"/>
    <w:tmpl w:val="CA9C7B1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992AA5"/>
    <w:multiLevelType w:val="hybridMultilevel"/>
    <w:tmpl w:val="FBD6C49A"/>
    <w:lvl w:ilvl="0" w:tplc="F1004532">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9A3CED"/>
    <w:multiLevelType w:val="hybridMultilevel"/>
    <w:tmpl w:val="CF38125A"/>
    <w:lvl w:ilvl="0" w:tplc="DA768174">
      <w:start w:val="1"/>
      <w:numFmt w:val="decimal"/>
      <w:pStyle w:val="Styl2SWZ"/>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4F5FA6"/>
    <w:multiLevelType w:val="hybridMultilevel"/>
    <w:tmpl w:val="5758552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7274985"/>
    <w:multiLevelType w:val="hybridMultilevel"/>
    <w:tmpl w:val="688E87EE"/>
    <w:lvl w:ilvl="0" w:tplc="B86C954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39578E"/>
    <w:multiLevelType w:val="hybridMultilevel"/>
    <w:tmpl w:val="882EE80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2C3F2DB9"/>
    <w:multiLevelType w:val="hybridMultilevel"/>
    <w:tmpl w:val="9490D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05366B"/>
    <w:multiLevelType w:val="hybridMultilevel"/>
    <w:tmpl w:val="EB98DBBC"/>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F6C77EE"/>
    <w:multiLevelType w:val="hybridMultilevel"/>
    <w:tmpl w:val="92B49372"/>
    <w:lvl w:ilvl="0" w:tplc="2466AB64">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EA1671"/>
    <w:multiLevelType w:val="hybridMultilevel"/>
    <w:tmpl w:val="48983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E500E9"/>
    <w:multiLevelType w:val="hybridMultilevel"/>
    <w:tmpl w:val="394A326C"/>
    <w:lvl w:ilvl="0" w:tplc="C7606C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486D47E8"/>
    <w:multiLevelType w:val="hybridMultilevel"/>
    <w:tmpl w:val="AC4C4980"/>
    <w:lvl w:ilvl="0" w:tplc="12B27B60">
      <w:start w:val="1"/>
      <w:numFmt w:val="decimal"/>
      <w:lvlText w:val="%1."/>
      <w:lvlJc w:val="left"/>
      <w:pPr>
        <w:ind w:left="720" w:hanging="360"/>
      </w:pPr>
      <w:rPr>
        <w:rFonts w:asciiTheme="minorHAnsi" w:eastAsia="Times New Roman"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0C4C3B"/>
    <w:multiLevelType w:val="hybridMultilevel"/>
    <w:tmpl w:val="5CC2162C"/>
    <w:lvl w:ilvl="0" w:tplc="6890F108">
      <w:start w:val="3"/>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4FA53D9C"/>
    <w:multiLevelType w:val="hybridMultilevel"/>
    <w:tmpl w:val="B2C49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650C90"/>
    <w:multiLevelType w:val="hybridMultilevel"/>
    <w:tmpl w:val="4D88A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5F35B6"/>
    <w:multiLevelType w:val="hybridMultilevel"/>
    <w:tmpl w:val="CD389CB0"/>
    <w:lvl w:ilvl="0" w:tplc="847863B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6E1B27"/>
    <w:multiLevelType w:val="hybridMultilevel"/>
    <w:tmpl w:val="FB0226AC"/>
    <w:lvl w:ilvl="0" w:tplc="E3C0BAA2">
      <w:start w:val="1"/>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1B4B9C"/>
    <w:multiLevelType w:val="hybridMultilevel"/>
    <w:tmpl w:val="F7EE0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D55664"/>
    <w:multiLevelType w:val="hybridMultilevel"/>
    <w:tmpl w:val="A3B028E2"/>
    <w:lvl w:ilvl="0" w:tplc="C414B922">
      <w:start w:val="1"/>
      <w:numFmt w:val="lowerLetter"/>
      <w:lvlText w:val="%1)"/>
      <w:lvlJc w:val="left"/>
      <w:pPr>
        <w:ind w:left="1068" w:hanging="360"/>
      </w:pPr>
      <w:rPr>
        <w:rFonts w:cstheme="minorBidi"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3945589"/>
    <w:multiLevelType w:val="hybridMultilevel"/>
    <w:tmpl w:val="FAC61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B6468D"/>
    <w:multiLevelType w:val="hybridMultilevel"/>
    <w:tmpl w:val="A386CB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AC4DDB"/>
    <w:multiLevelType w:val="hybridMultilevel"/>
    <w:tmpl w:val="826E436E"/>
    <w:lvl w:ilvl="0" w:tplc="39969C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25"/>
  </w:num>
  <w:num w:numId="3">
    <w:abstractNumId w:val="1"/>
  </w:num>
  <w:num w:numId="4">
    <w:abstractNumId w:val="10"/>
  </w:num>
  <w:num w:numId="5">
    <w:abstractNumId w:val="7"/>
  </w:num>
  <w:num w:numId="6">
    <w:abstractNumId w:val="21"/>
  </w:num>
  <w:num w:numId="7">
    <w:abstractNumId w:val="8"/>
  </w:num>
  <w:num w:numId="8">
    <w:abstractNumId w:val="15"/>
  </w:num>
  <w:num w:numId="9">
    <w:abstractNumId w:val="20"/>
  </w:num>
  <w:num w:numId="10">
    <w:abstractNumId w:val="22"/>
  </w:num>
  <w:num w:numId="11">
    <w:abstractNumId w:val="12"/>
  </w:num>
  <w:num w:numId="12">
    <w:abstractNumId w:val="5"/>
  </w:num>
  <w:num w:numId="13">
    <w:abstractNumId w:val="2"/>
  </w:num>
  <w:num w:numId="14">
    <w:abstractNumId w:val="23"/>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11"/>
  </w:num>
  <w:num w:numId="20">
    <w:abstractNumId w:val="19"/>
  </w:num>
  <w:num w:numId="21">
    <w:abstractNumId w:val="0"/>
    <w:lvlOverride w:ilvl="0">
      <w:lvl w:ilvl="0">
        <w:start w:val="65535"/>
        <w:numFmt w:val="bullet"/>
        <w:lvlText w:val="•"/>
        <w:legacy w:legacy="1" w:legacySpace="0" w:legacyIndent="350"/>
        <w:lvlJc w:val="left"/>
        <w:rPr>
          <w:rFonts w:ascii="Arial" w:hAnsi="Arial" w:cs="Arial" w:hint="default"/>
        </w:rPr>
      </w:lvl>
    </w:lvlOverride>
  </w:num>
  <w:num w:numId="22">
    <w:abstractNumId w:val="16"/>
  </w:num>
  <w:num w:numId="23">
    <w:abstractNumId w:val="26"/>
  </w:num>
  <w:num w:numId="24">
    <w:abstractNumId w:val="14"/>
  </w:num>
  <w:num w:numId="25">
    <w:abstractNumId w:val="9"/>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C0"/>
    <w:rsid w:val="000158AB"/>
    <w:rsid w:val="00031FB2"/>
    <w:rsid w:val="00034EB0"/>
    <w:rsid w:val="00044BE5"/>
    <w:rsid w:val="000544F2"/>
    <w:rsid w:val="000545DC"/>
    <w:rsid w:val="0006189E"/>
    <w:rsid w:val="00062308"/>
    <w:rsid w:val="00071FC1"/>
    <w:rsid w:val="000871E1"/>
    <w:rsid w:val="00093173"/>
    <w:rsid w:val="000A032E"/>
    <w:rsid w:val="000A0B4A"/>
    <w:rsid w:val="000A201A"/>
    <w:rsid w:val="000C174F"/>
    <w:rsid w:val="000D3BA0"/>
    <w:rsid w:val="000E4973"/>
    <w:rsid w:val="000E5535"/>
    <w:rsid w:val="000E69DA"/>
    <w:rsid w:val="000F45C5"/>
    <w:rsid w:val="00103DA7"/>
    <w:rsid w:val="00106803"/>
    <w:rsid w:val="00117C4F"/>
    <w:rsid w:val="00134874"/>
    <w:rsid w:val="00135DC0"/>
    <w:rsid w:val="00142736"/>
    <w:rsid w:val="001527B3"/>
    <w:rsid w:val="001532CD"/>
    <w:rsid w:val="00160DF9"/>
    <w:rsid w:val="00161462"/>
    <w:rsid w:val="00172165"/>
    <w:rsid w:val="001814A2"/>
    <w:rsid w:val="00191D27"/>
    <w:rsid w:val="001A0EA9"/>
    <w:rsid w:val="001A339E"/>
    <w:rsid w:val="001A5687"/>
    <w:rsid w:val="001C4877"/>
    <w:rsid w:val="001D2007"/>
    <w:rsid w:val="001F4D64"/>
    <w:rsid w:val="002013E3"/>
    <w:rsid w:val="00214763"/>
    <w:rsid w:val="0027177E"/>
    <w:rsid w:val="0027615D"/>
    <w:rsid w:val="002867CE"/>
    <w:rsid w:val="0029568F"/>
    <w:rsid w:val="002A4079"/>
    <w:rsid w:val="002B6FEB"/>
    <w:rsid w:val="002B7991"/>
    <w:rsid w:val="002C339B"/>
    <w:rsid w:val="003079C6"/>
    <w:rsid w:val="00314913"/>
    <w:rsid w:val="00317116"/>
    <w:rsid w:val="00320ECF"/>
    <w:rsid w:val="00321846"/>
    <w:rsid w:val="003271D5"/>
    <w:rsid w:val="00331C08"/>
    <w:rsid w:val="00363463"/>
    <w:rsid w:val="0036626E"/>
    <w:rsid w:val="00373DE5"/>
    <w:rsid w:val="00394F03"/>
    <w:rsid w:val="003A5D5C"/>
    <w:rsid w:val="003B1E01"/>
    <w:rsid w:val="003B3970"/>
    <w:rsid w:val="003C0164"/>
    <w:rsid w:val="003C4275"/>
    <w:rsid w:val="003E0E17"/>
    <w:rsid w:val="003F1E1F"/>
    <w:rsid w:val="00402DC1"/>
    <w:rsid w:val="00407C65"/>
    <w:rsid w:val="00412AC2"/>
    <w:rsid w:val="00420E86"/>
    <w:rsid w:val="004213EE"/>
    <w:rsid w:val="00426B00"/>
    <w:rsid w:val="00435087"/>
    <w:rsid w:val="0046603E"/>
    <w:rsid w:val="00492CE6"/>
    <w:rsid w:val="004A6434"/>
    <w:rsid w:val="004B5EAE"/>
    <w:rsid w:val="004E26EB"/>
    <w:rsid w:val="004E2886"/>
    <w:rsid w:val="004F31BD"/>
    <w:rsid w:val="004F32B2"/>
    <w:rsid w:val="005016ED"/>
    <w:rsid w:val="00503F0F"/>
    <w:rsid w:val="005261BA"/>
    <w:rsid w:val="00545BF5"/>
    <w:rsid w:val="00553A94"/>
    <w:rsid w:val="005573F0"/>
    <w:rsid w:val="00565B03"/>
    <w:rsid w:val="005765AD"/>
    <w:rsid w:val="00581F96"/>
    <w:rsid w:val="00584793"/>
    <w:rsid w:val="00592B7D"/>
    <w:rsid w:val="005D2973"/>
    <w:rsid w:val="005D64F8"/>
    <w:rsid w:val="00603A7B"/>
    <w:rsid w:val="00616D3E"/>
    <w:rsid w:val="00624F80"/>
    <w:rsid w:val="006260A1"/>
    <w:rsid w:val="006325B4"/>
    <w:rsid w:val="0064263E"/>
    <w:rsid w:val="00642D5E"/>
    <w:rsid w:val="00646101"/>
    <w:rsid w:val="00655D61"/>
    <w:rsid w:val="0067232F"/>
    <w:rsid w:val="00685FEF"/>
    <w:rsid w:val="00687DE8"/>
    <w:rsid w:val="00691891"/>
    <w:rsid w:val="00691C4A"/>
    <w:rsid w:val="006972E9"/>
    <w:rsid w:val="006A10E2"/>
    <w:rsid w:val="006B6C8C"/>
    <w:rsid w:val="006D0BD6"/>
    <w:rsid w:val="006D2D0F"/>
    <w:rsid w:val="006D5AAC"/>
    <w:rsid w:val="006F01EA"/>
    <w:rsid w:val="00701153"/>
    <w:rsid w:val="007026BA"/>
    <w:rsid w:val="0071016F"/>
    <w:rsid w:val="00726E00"/>
    <w:rsid w:val="00734A2B"/>
    <w:rsid w:val="0074228B"/>
    <w:rsid w:val="007424D8"/>
    <w:rsid w:val="007521A7"/>
    <w:rsid w:val="00763EBE"/>
    <w:rsid w:val="007B0954"/>
    <w:rsid w:val="007B18BC"/>
    <w:rsid w:val="007C4C39"/>
    <w:rsid w:val="007D5DC5"/>
    <w:rsid w:val="0080459D"/>
    <w:rsid w:val="008055B1"/>
    <w:rsid w:val="008124D3"/>
    <w:rsid w:val="00824280"/>
    <w:rsid w:val="00827490"/>
    <w:rsid w:val="00851ECC"/>
    <w:rsid w:val="00863116"/>
    <w:rsid w:val="008B058F"/>
    <w:rsid w:val="008B162F"/>
    <w:rsid w:val="008C5C41"/>
    <w:rsid w:val="008E6173"/>
    <w:rsid w:val="008E7E21"/>
    <w:rsid w:val="00926906"/>
    <w:rsid w:val="00930285"/>
    <w:rsid w:val="00932F9C"/>
    <w:rsid w:val="009331C0"/>
    <w:rsid w:val="00933B5A"/>
    <w:rsid w:val="00934F7B"/>
    <w:rsid w:val="0093706F"/>
    <w:rsid w:val="009564B9"/>
    <w:rsid w:val="00957AAA"/>
    <w:rsid w:val="0096164B"/>
    <w:rsid w:val="00962F63"/>
    <w:rsid w:val="009801E1"/>
    <w:rsid w:val="009A3C86"/>
    <w:rsid w:val="009C443E"/>
    <w:rsid w:val="009F3ACA"/>
    <w:rsid w:val="00A111D8"/>
    <w:rsid w:val="00A23C5C"/>
    <w:rsid w:val="00A31BF2"/>
    <w:rsid w:val="00A4018F"/>
    <w:rsid w:val="00A556D5"/>
    <w:rsid w:val="00A56B14"/>
    <w:rsid w:val="00A61870"/>
    <w:rsid w:val="00A63456"/>
    <w:rsid w:val="00A64C70"/>
    <w:rsid w:val="00A77947"/>
    <w:rsid w:val="00A85F60"/>
    <w:rsid w:val="00A8698C"/>
    <w:rsid w:val="00A8797B"/>
    <w:rsid w:val="00AA1FF3"/>
    <w:rsid w:val="00AA6746"/>
    <w:rsid w:val="00AB5DB5"/>
    <w:rsid w:val="00AB5F57"/>
    <w:rsid w:val="00AC0FC1"/>
    <w:rsid w:val="00AC17E1"/>
    <w:rsid w:val="00AD6FAC"/>
    <w:rsid w:val="00AE1811"/>
    <w:rsid w:val="00AE5560"/>
    <w:rsid w:val="00AF4A18"/>
    <w:rsid w:val="00AF5CD8"/>
    <w:rsid w:val="00AF740B"/>
    <w:rsid w:val="00B11B99"/>
    <w:rsid w:val="00B24724"/>
    <w:rsid w:val="00B524D8"/>
    <w:rsid w:val="00B701F0"/>
    <w:rsid w:val="00B851C4"/>
    <w:rsid w:val="00BA2CEE"/>
    <w:rsid w:val="00BA3500"/>
    <w:rsid w:val="00BA6C0B"/>
    <w:rsid w:val="00BB26D8"/>
    <w:rsid w:val="00BC682D"/>
    <w:rsid w:val="00BC75C8"/>
    <w:rsid w:val="00BD3873"/>
    <w:rsid w:val="00BE1C6B"/>
    <w:rsid w:val="00C01EC7"/>
    <w:rsid w:val="00C13816"/>
    <w:rsid w:val="00C3573A"/>
    <w:rsid w:val="00C36B79"/>
    <w:rsid w:val="00C42EC6"/>
    <w:rsid w:val="00C503DC"/>
    <w:rsid w:val="00C5391E"/>
    <w:rsid w:val="00C57C76"/>
    <w:rsid w:val="00C816B7"/>
    <w:rsid w:val="00CA3168"/>
    <w:rsid w:val="00CA6C2C"/>
    <w:rsid w:val="00CB16AC"/>
    <w:rsid w:val="00CC2358"/>
    <w:rsid w:val="00CC7911"/>
    <w:rsid w:val="00CD3533"/>
    <w:rsid w:val="00CD466E"/>
    <w:rsid w:val="00CE7D50"/>
    <w:rsid w:val="00CF4CF3"/>
    <w:rsid w:val="00CF5B1E"/>
    <w:rsid w:val="00CF71F3"/>
    <w:rsid w:val="00D2702D"/>
    <w:rsid w:val="00D3301F"/>
    <w:rsid w:val="00D37183"/>
    <w:rsid w:val="00D43979"/>
    <w:rsid w:val="00D44C10"/>
    <w:rsid w:val="00D46F3E"/>
    <w:rsid w:val="00D5453F"/>
    <w:rsid w:val="00D62EAE"/>
    <w:rsid w:val="00D8709C"/>
    <w:rsid w:val="00D87B4F"/>
    <w:rsid w:val="00D965CA"/>
    <w:rsid w:val="00DA61A8"/>
    <w:rsid w:val="00DB2A0A"/>
    <w:rsid w:val="00DC049F"/>
    <w:rsid w:val="00DC34DC"/>
    <w:rsid w:val="00DD167B"/>
    <w:rsid w:val="00DD3043"/>
    <w:rsid w:val="00DD72CD"/>
    <w:rsid w:val="00E01473"/>
    <w:rsid w:val="00E14B85"/>
    <w:rsid w:val="00E2558C"/>
    <w:rsid w:val="00E2769C"/>
    <w:rsid w:val="00E36539"/>
    <w:rsid w:val="00E65DE4"/>
    <w:rsid w:val="00E66911"/>
    <w:rsid w:val="00E8544A"/>
    <w:rsid w:val="00EB3028"/>
    <w:rsid w:val="00ED2066"/>
    <w:rsid w:val="00EF445E"/>
    <w:rsid w:val="00F07572"/>
    <w:rsid w:val="00F11BB4"/>
    <w:rsid w:val="00F24696"/>
    <w:rsid w:val="00F27D6E"/>
    <w:rsid w:val="00F30715"/>
    <w:rsid w:val="00F470CE"/>
    <w:rsid w:val="00F60FF4"/>
    <w:rsid w:val="00F651A6"/>
    <w:rsid w:val="00F66702"/>
    <w:rsid w:val="00F763F4"/>
    <w:rsid w:val="00F811FA"/>
    <w:rsid w:val="00F8686A"/>
    <w:rsid w:val="00F90D85"/>
    <w:rsid w:val="00FA105A"/>
    <w:rsid w:val="00FB35FC"/>
    <w:rsid w:val="00FD0BB5"/>
    <w:rsid w:val="00FD3102"/>
    <w:rsid w:val="00FD35C0"/>
    <w:rsid w:val="00FD529C"/>
    <w:rsid w:val="00FF1DC1"/>
    <w:rsid w:val="00FF6280"/>
    <w:rsid w:val="00FF6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44E12F14"/>
  <w15:docId w15:val="{FF99BBB6-208E-4CF2-988B-8660A91A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0285"/>
  </w:style>
  <w:style w:type="paragraph" w:styleId="Nagwek1">
    <w:name w:val="heading 1"/>
    <w:basedOn w:val="Normalny"/>
    <w:next w:val="Normalny"/>
    <w:link w:val="Nagwek1Znak"/>
    <w:uiPriority w:val="9"/>
    <w:qFormat/>
    <w:rsid w:val="00742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B6C8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2308"/>
    <w:pPr>
      <w:ind w:left="720"/>
      <w:contextualSpacing/>
    </w:pPr>
  </w:style>
  <w:style w:type="character" w:styleId="Hipercze">
    <w:name w:val="Hyperlink"/>
    <w:basedOn w:val="Domylnaczcionkaakapitu"/>
    <w:uiPriority w:val="99"/>
    <w:unhideWhenUsed/>
    <w:rsid w:val="00062308"/>
    <w:rPr>
      <w:color w:val="0563C1" w:themeColor="hyperlink"/>
      <w:u w:val="single"/>
    </w:rPr>
  </w:style>
  <w:style w:type="character" w:styleId="UyteHipercze">
    <w:name w:val="FollowedHyperlink"/>
    <w:basedOn w:val="Domylnaczcionkaakapitu"/>
    <w:uiPriority w:val="99"/>
    <w:semiHidden/>
    <w:unhideWhenUsed/>
    <w:rsid w:val="00062308"/>
    <w:rPr>
      <w:color w:val="954F72" w:themeColor="followedHyperlink"/>
      <w:u w:val="single"/>
    </w:rPr>
  </w:style>
  <w:style w:type="paragraph" w:styleId="Nagwek">
    <w:name w:val="header"/>
    <w:basedOn w:val="Normalny"/>
    <w:link w:val="NagwekZnak"/>
    <w:uiPriority w:val="99"/>
    <w:unhideWhenUsed/>
    <w:rsid w:val="00FB35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FC"/>
  </w:style>
  <w:style w:type="paragraph" w:styleId="Stopka">
    <w:name w:val="footer"/>
    <w:basedOn w:val="Normalny"/>
    <w:link w:val="StopkaZnak"/>
    <w:uiPriority w:val="99"/>
    <w:unhideWhenUsed/>
    <w:rsid w:val="00FB35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FC"/>
  </w:style>
  <w:style w:type="paragraph" w:styleId="Tekstdymka">
    <w:name w:val="Balloon Text"/>
    <w:basedOn w:val="Normalny"/>
    <w:link w:val="TekstdymkaZnak"/>
    <w:uiPriority w:val="99"/>
    <w:semiHidden/>
    <w:unhideWhenUsed/>
    <w:rsid w:val="00FB35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5FC"/>
    <w:rPr>
      <w:rFonts w:ascii="Tahoma" w:hAnsi="Tahoma" w:cs="Tahoma"/>
      <w:sz w:val="16"/>
      <w:szCs w:val="16"/>
    </w:rPr>
  </w:style>
  <w:style w:type="paragraph" w:customStyle="1" w:styleId="Textbody">
    <w:name w:val="Text body"/>
    <w:basedOn w:val="Normalny"/>
    <w:rsid w:val="00CA3168"/>
    <w:pPr>
      <w:suppressAutoHyphens/>
      <w:autoSpaceDN w:val="0"/>
      <w:spacing w:after="120" w:line="240" w:lineRule="auto"/>
      <w:textAlignment w:val="baseline"/>
    </w:pPr>
    <w:rPr>
      <w:rFonts w:ascii="Tahoma" w:eastAsia="Times New Roman" w:hAnsi="Tahoma" w:cs="Times New Roman"/>
      <w:kern w:val="3"/>
      <w:sz w:val="20"/>
      <w:szCs w:val="24"/>
      <w:lang w:eastAsia="zh-CN"/>
    </w:rPr>
  </w:style>
  <w:style w:type="paragraph" w:styleId="Zwykytekst">
    <w:name w:val="Plain Text"/>
    <w:basedOn w:val="Normalny"/>
    <w:link w:val="ZwykytekstZnak"/>
    <w:uiPriority w:val="99"/>
    <w:semiHidden/>
    <w:unhideWhenUsed/>
    <w:rsid w:val="00A23C5C"/>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semiHidden/>
    <w:rsid w:val="00A23C5C"/>
    <w:rPr>
      <w:rFonts w:ascii="Calibri" w:hAnsi="Calibri" w:cs="Consolas"/>
      <w:szCs w:val="21"/>
    </w:rPr>
  </w:style>
  <w:style w:type="character" w:customStyle="1" w:styleId="normalnychar1">
    <w:name w:val="normalny__char1"/>
    <w:rsid w:val="00B24724"/>
    <w:rPr>
      <w:rFonts w:ascii="Calibri" w:hAnsi="Calibri"/>
      <w:sz w:val="22"/>
      <w:u w:val="none"/>
      <w:effect w:val="none"/>
    </w:rPr>
  </w:style>
  <w:style w:type="paragraph" w:customStyle="1" w:styleId="Default">
    <w:name w:val="Default"/>
    <w:rsid w:val="00B24724"/>
    <w:pPr>
      <w:autoSpaceDE w:val="0"/>
      <w:autoSpaceDN w:val="0"/>
      <w:adjustRightInd w:val="0"/>
      <w:spacing w:after="0" w:line="240" w:lineRule="auto"/>
    </w:pPr>
    <w:rPr>
      <w:rFonts w:ascii="Calibri" w:hAnsi="Calibri" w:cs="Calibri"/>
      <w:color w:val="000000"/>
      <w:sz w:val="24"/>
      <w:szCs w:val="24"/>
    </w:rPr>
  </w:style>
  <w:style w:type="paragraph" w:styleId="Tekstpodstawowy3">
    <w:name w:val="Body Text 3"/>
    <w:basedOn w:val="Normalny"/>
    <w:link w:val="Tekstpodstawowy3Znak"/>
    <w:rsid w:val="0074228B"/>
    <w:pPr>
      <w:tabs>
        <w:tab w:val="left" w:pos="0"/>
      </w:tabs>
      <w:spacing w:after="0" w:line="240" w:lineRule="auto"/>
      <w:jc w:val="both"/>
    </w:pPr>
    <w:rPr>
      <w:rFonts w:ascii="Times New Roman" w:eastAsia="Times New Roman" w:hAnsi="Times New Roman" w:cs="Times New Roman"/>
      <w:szCs w:val="20"/>
    </w:rPr>
  </w:style>
  <w:style w:type="character" w:customStyle="1" w:styleId="Tekstpodstawowy3Znak">
    <w:name w:val="Tekst podstawowy 3 Znak"/>
    <w:basedOn w:val="Domylnaczcionkaakapitu"/>
    <w:link w:val="Tekstpodstawowy3"/>
    <w:rsid w:val="0074228B"/>
    <w:rPr>
      <w:rFonts w:ascii="Times New Roman" w:eastAsia="Times New Roman" w:hAnsi="Times New Roman" w:cs="Times New Roman"/>
      <w:szCs w:val="20"/>
    </w:rPr>
  </w:style>
  <w:style w:type="character" w:customStyle="1" w:styleId="Nagwek1Znak">
    <w:name w:val="Nagłówek 1 Znak"/>
    <w:basedOn w:val="Domylnaczcionkaakapitu"/>
    <w:link w:val="Nagwek1"/>
    <w:uiPriority w:val="9"/>
    <w:rsid w:val="0074228B"/>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0E69DA"/>
    <w:rPr>
      <w:sz w:val="16"/>
      <w:szCs w:val="16"/>
    </w:rPr>
  </w:style>
  <w:style w:type="paragraph" w:styleId="Tekstkomentarza">
    <w:name w:val="annotation text"/>
    <w:basedOn w:val="Normalny"/>
    <w:link w:val="TekstkomentarzaZnak"/>
    <w:uiPriority w:val="99"/>
    <w:semiHidden/>
    <w:unhideWhenUsed/>
    <w:rsid w:val="000E69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69DA"/>
    <w:rPr>
      <w:sz w:val="20"/>
      <w:szCs w:val="20"/>
    </w:rPr>
  </w:style>
  <w:style w:type="paragraph" w:styleId="Tematkomentarza">
    <w:name w:val="annotation subject"/>
    <w:basedOn w:val="Tekstkomentarza"/>
    <w:next w:val="Tekstkomentarza"/>
    <w:link w:val="TematkomentarzaZnak"/>
    <w:uiPriority w:val="99"/>
    <w:semiHidden/>
    <w:unhideWhenUsed/>
    <w:rsid w:val="000E69DA"/>
    <w:rPr>
      <w:b/>
      <w:bCs/>
    </w:rPr>
  </w:style>
  <w:style w:type="character" w:customStyle="1" w:styleId="TematkomentarzaZnak">
    <w:name w:val="Temat komentarza Znak"/>
    <w:basedOn w:val="TekstkomentarzaZnak"/>
    <w:link w:val="Tematkomentarza"/>
    <w:uiPriority w:val="99"/>
    <w:semiHidden/>
    <w:rsid w:val="000E69DA"/>
    <w:rPr>
      <w:b/>
      <w:bCs/>
      <w:sz w:val="20"/>
      <w:szCs w:val="20"/>
    </w:rPr>
  </w:style>
  <w:style w:type="character" w:customStyle="1" w:styleId="Styl2SWZZnak">
    <w:name w:val="Styl2SWZ Znak"/>
    <w:basedOn w:val="Domylnaczcionkaakapitu"/>
    <w:link w:val="Styl2SWZ"/>
    <w:locked/>
    <w:rsid w:val="000E69DA"/>
  </w:style>
  <w:style w:type="paragraph" w:customStyle="1" w:styleId="Styl2SWZ">
    <w:name w:val="Styl2SWZ"/>
    <w:basedOn w:val="Normalny"/>
    <w:link w:val="Styl2SWZZnak"/>
    <w:qFormat/>
    <w:rsid w:val="000E69DA"/>
    <w:pPr>
      <w:numPr>
        <w:numId w:val="16"/>
      </w:numPr>
      <w:spacing w:after="0" w:line="240" w:lineRule="auto"/>
      <w:jc w:val="both"/>
    </w:pPr>
  </w:style>
  <w:style w:type="paragraph" w:styleId="NormalnyWeb">
    <w:name w:val="Normal (Web)"/>
    <w:basedOn w:val="Normalny"/>
    <w:uiPriority w:val="99"/>
    <w:unhideWhenUsed/>
    <w:rsid w:val="00D8709C"/>
    <w:pPr>
      <w:spacing w:before="100" w:beforeAutospacing="1" w:after="100" w:afterAutospacing="1" w:line="240" w:lineRule="auto"/>
    </w:pPr>
    <w:rPr>
      <w:rFonts w:ascii="Calibri" w:hAnsi="Calibri" w:cs="Calibri"/>
      <w:lang w:eastAsia="pl-PL"/>
    </w:rPr>
  </w:style>
  <w:style w:type="paragraph" w:styleId="Bezodstpw">
    <w:name w:val="No Spacing"/>
    <w:uiPriority w:val="1"/>
    <w:qFormat/>
    <w:rsid w:val="00A77947"/>
    <w:pPr>
      <w:spacing w:after="0" w:line="240" w:lineRule="auto"/>
    </w:pPr>
  </w:style>
  <w:style w:type="character" w:customStyle="1" w:styleId="Nagwek2Znak">
    <w:name w:val="Nagłówek 2 Znak"/>
    <w:basedOn w:val="Domylnaczcionkaakapitu"/>
    <w:link w:val="Nagwek2"/>
    <w:uiPriority w:val="9"/>
    <w:semiHidden/>
    <w:rsid w:val="006B6C8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2847">
      <w:bodyDiv w:val="1"/>
      <w:marLeft w:val="0"/>
      <w:marRight w:val="0"/>
      <w:marTop w:val="0"/>
      <w:marBottom w:val="0"/>
      <w:divBdr>
        <w:top w:val="none" w:sz="0" w:space="0" w:color="auto"/>
        <w:left w:val="none" w:sz="0" w:space="0" w:color="auto"/>
        <w:bottom w:val="none" w:sz="0" w:space="0" w:color="auto"/>
        <w:right w:val="none" w:sz="0" w:space="0" w:color="auto"/>
      </w:divBdr>
    </w:div>
    <w:div w:id="443887116">
      <w:bodyDiv w:val="1"/>
      <w:marLeft w:val="0"/>
      <w:marRight w:val="0"/>
      <w:marTop w:val="0"/>
      <w:marBottom w:val="0"/>
      <w:divBdr>
        <w:top w:val="none" w:sz="0" w:space="0" w:color="auto"/>
        <w:left w:val="none" w:sz="0" w:space="0" w:color="auto"/>
        <w:bottom w:val="none" w:sz="0" w:space="0" w:color="auto"/>
        <w:right w:val="none" w:sz="0" w:space="0" w:color="auto"/>
      </w:divBdr>
    </w:div>
    <w:div w:id="546724986">
      <w:bodyDiv w:val="1"/>
      <w:marLeft w:val="0"/>
      <w:marRight w:val="0"/>
      <w:marTop w:val="0"/>
      <w:marBottom w:val="0"/>
      <w:divBdr>
        <w:top w:val="none" w:sz="0" w:space="0" w:color="auto"/>
        <w:left w:val="none" w:sz="0" w:space="0" w:color="auto"/>
        <w:bottom w:val="none" w:sz="0" w:space="0" w:color="auto"/>
        <w:right w:val="none" w:sz="0" w:space="0" w:color="auto"/>
      </w:divBdr>
      <w:divsChild>
        <w:div w:id="1397046367">
          <w:marLeft w:val="0"/>
          <w:marRight w:val="0"/>
          <w:marTop w:val="0"/>
          <w:marBottom w:val="0"/>
          <w:divBdr>
            <w:top w:val="none" w:sz="0" w:space="0" w:color="auto"/>
            <w:left w:val="none" w:sz="0" w:space="0" w:color="auto"/>
            <w:bottom w:val="none" w:sz="0" w:space="0" w:color="auto"/>
            <w:right w:val="none" w:sz="0" w:space="0" w:color="auto"/>
          </w:divBdr>
        </w:div>
        <w:div w:id="304354615">
          <w:marLeft w:val="0"/>
          <w:marRight w:val="0"/>
          <w:marTop w:val="0"/>
          <w:marBottom w:val="0"/>
          <w:divBdr>
            <w:top w:val="none" w:sz="0" w:space="0" w:color="auto"/>
            <w:left w:val="none" w:sz="0" w:space="0" w:color="auto"/>
            <w:bottom w:val="none" w:sz="0" w:space="0" w:color="auto"/>
            <w:right w:val="none" w:sz="0" w:space="0" w:color="auto"/>
          </w:divBdr>
        </w:div>
        <w:div w:id="1840195798">
          <w:marLeft w:val="0"/>
          <w:marRight w:val="0"/>
          <w:marTop w:val="0"/>
          <w:marBottom w:val="0"/>
          <w:divBdr>
            <w:top w:val="none" w:sz="0" w:space="0" w:color="auto"/>
            <w:left w:val="none" w:sz="0" w:space="0" w:color="auto"/>
            <w:bottom w:val="none" w:sz="0" w:space="0" w:color="auto"/>
            <w:right w:val="none" w:sz="0" w:space="0" w:color="auto"/>
          </w:divBdr>
        </w:div>
        <w:div w:id="1011224626">
          <w:marLeft w:val="0"/>
          <w:marRight w:val="0"/>
          <w:marTop w:val="0"/>
          <w:marBottom w:val="0"/>
          <w:divBdr>
            <w:top w:val="none" w:sz="0" w:space="0" w:color="auto"/>
            <w:left w:val="none" w:sz="0" w:space="0" w:color="auto"/>
            <w:bottom w:val="none" w:sz="0" w:space="0" w:color="auto"/>
            <w:right w:val="none" w:sz="0" w:space="0" w:color="auto"/>
          </w:divBdr>
        </w:div>
        <w:div w:id="1356611224">
          <w:marLeft w:val="0"/>
          <w:marRight w:val="0"/>
          <w:marTop w:val="0"/>
          <w:marBottom w:val="0"/>
          <w:divBdr>
            <w:top w:val="none" w:sz="0" w:space="0" w:color="auto"/>
            <w:left w:val="none" w:sz="0" w:space="0" w:color="auto"/>
            <w:bottom w:val="none" w:sz="0" w:space="0" w:color="auto"/>
            <w:right w:val="none" w:sz="0" w:space="0" w:color="auto"/>
          </w:divBdr>
        </w:div>
        <w:div w:id="1556889390">
          <w:marLeft w:val="0"/>
          <w:marRight w:val="0"/>
          <w:marTop w:val="0"/>
          <w:marBottom w:val="0"/>
          <w:divBdr>
            <w:top w:val="none" w:sz="0" w:space="0" w:color="auto"/>
            <w:left w:val="none" w:sz="0" w:space="0" w:color="auto"/>
            <w:bottom w:val="none" w:sz="0" w:space="0" w:color="auto"/>
            <w:right w:val="none" w:sz="0" w:space="0" w:color="auto"/>
          </w:divBdr>
        </w:div>
        <w:div w:id="1432047164">
          <w:marLeft w:val="0"/>
          <w:marRight w:val="0"/>
          <w:marTop w:val="0"/>
          <w:marBottom w:val="0"/>
          <w:divBdr>
            <w:top w:val="none" w:sz="0" w:space="0" w:color="auto"/>
            <w:left w:val="none" w:sz="0" w:space="0" w:color="auto"/>
            <w:bottom w:val="none" w:sz="0" w:space="0" w:color="auto"/>
            <w:right w:val="none" w:sz="0" w:space="0" w:color="auto"/>
          </w:divBdr>
        </w:div>
        <w:div w:id="2090421427">
          <w:marLeft w:val="0"/>
          <w:marRight w:val="0"/>
          <w:marTop w:val="0"/>
          <w:marBottom w:val="0"/>
          <w:divBdr>
            <w:top w:val="none" w:sz="0" w:space="0" w:color="auto"/>
            <w:left w:val="none" w:sz="0" w:space="0" w:color="auto"/>
            <w:bottom w:val="none" w:sz="0" w:space="0" w:color="auto"/>
            <w:right w:val="none" w:sz="0" w:space="0" w:color="auto"/>
          </w:divBdr>
        </w:div>
      </w:divsChild>
    </w:div>
    <w:div w:id="648822846">
      <w:bodyDiv w:val="1"/>
      <w:marLeft w:val="0"/>
      <w:marRight w:val="0"/>
      <w:marTop w:val="0"/>
      <w:marBottom w:val="0"/>
      <w:divBdr>
        <w:top w:val="none" w:sz="0" w:space="0" w:color="auto"/>
        <w:left w:val="none" w:sz="0" w:space="0" w:color="auto"/>
        <w:bottom w:val="none" w:sz="0" w:space="0" w:color="auto"/>
        <w:right w:val="none" w:sz="0" w:space="0" w:color="auto"/>
      </w:divBdr>
    </w:div>
    <w:div w:id="657151773">
      <w:bodyDiv w:val="1"/>
      <w:marLeft w:val="0"/>
      <w:marRight w:val="0"/>
      <w:marTop w:val="0"/>
      <w:marBottom w:val="0"/>
      <w:divBdr>
        <w:top w:val="none" w:sz="0" w:space="0" w:color="auto"/>
        <w:left w:val="none" w:sz="0" w:space="0" w:color="auto"/>
        <w:bottom w:val="none" w:sz="0" w:space="0" w:color="auto"/>
        <w:right w:val="none" w:sz="0" w:space="0" w:color="auto"/>
      </w:divBdr>
    </w:div>
    <w:div w:id="1201432642">
      <w:bodyDiv w:val="1"/>
      <w:marLeft w:val="0"/>
      <w:marRight w:val="0"/>
      <w:marTop w:val="0"/>
      <w:marBottom w:val="0"/>
      <w:divBdr>
        <w:top w:val="none" w:sz="0" w:space="0" w:color="auto"/>
        <w:left w:val="none" w:sz="0" w:space="0" w:color="auto"/>
        <w:bottom w:val="none" w:sz="0" w:space="0" w:color="auto"/>
        <w:right w:val="none" w:sz="0" w:space="0" w:color="auto"/>
      </w:divBdr>
    </w:div>
    <w:div w:id="1202015330">
      <w:bodyDiv w:val="1"/>
      <w:marLeft w:val="0"/>
      <w:marRight w:val="0"/>
      <w:marTop w:val="0"/>
      <w:marBottom w:val="0"/>
      <w:divBdr>
        <w:top w:val="none" w:sz="0" w:space="0" w:color="auto"/>
        <w:left w:val="none" w:sz="0" w:space="0" w:color="auto"/>
        <w:bottom w:val="none" w:sz="0" w:space="0" w:color="auto"/>
        <w:right w:val="none" w:sz="0" w:space="0" w:color="auto"/>
      </w:divBdr>
      <w:divsChild>
        <w:div w:id="646668330">
          <w:marLeft w:val="0"/>
          <w:marRight w:val="0"/>
          <w:marTop w:val="0"/>
          <w:marBottom w:val="0"/>
          <w:divBdr>
            <w:top w:val="none" w:sz="0" w:space="0" w:color="auto"/>
            <w:left w:val="none" w:sz="0" w:space="0" w:color="auto"/>
            <w:bottom w:val="none" w:sz="0" w:space="0" w:color="auto"/>
            <w:right w:val="none" w:sz="0" w:space="0" w:color="auto"/>
          </w:divBdr>
        </w:div>
      </w:divsChild>
    </w:div>
    <w:div w:id="1562400549">
      <w:bodyDiv w:val="1"/>
      <w:marLeft w:val="0"/>
      <w:marRight w:val="0"/>
      <w:marTop w:val="0"/>
      <w:marBottom w:val="0"/>
      <w:divBdr>
        <w:top w:val="none" w:sz="0" w:space="0" w:color="auto"/>
        <w:left w:val="none" w:sz="0" w:space="0" w:color="auto"/>
        <w:bottom w:val="none" w:sz="0" w:space="0" w:color="auto"/>
        <w:right w:val="none" w:sz="0" w:space="0" w:color="auto"/>
      </w:divBdr>
    </w:div>
    <w:div w:id="1714426477">
      <w:bodyDiv w:val="1"/>
      <w:marLeft w:val="0"/>
      <w:marRight w:val="0"/>
      <w:marTop w:val="0"/>
      <w:marBottom w:val="0"/>
      <w:divBdr>
        <w:top w:val="none" w:sz="0" w:space="0" w:color="auto"/>
        <w:left w:val="none" w:sz="0" w:space="0" w:color="auto"/>
        <w:bottom w:val="none" w:sz="0" w:space="0" w:color="auto"/>
        <w:right w:val="none" w:sz="0" w:space="0" w:color="auto"/>
      </w:divBdr>
    </w:div>
    <w:div w:id="19497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3tsojygy&amp;refSource=hypli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sha2tomzwgi4dg&amp;refSource=hypli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rswglrtgy3tcobvgizdo&amp;refSource=hypli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ip.legalis.pl/document-view.seam?documentId=mrswglrtgy3dkmjugyzte&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qha3tiltqmfyc4njqgy4diobzhe&amp;refSource=hyplin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5FDA-3D7D-41AB-911D-EF81AF09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5266</Words>
  <Characters>31599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Grzyb, Dariusz</dc:creator>
  <cp:keywords/>
  <dc:description/>
  <cp:lastModifiedBy>Ewa Mroczek</cp:lastModifiedBy>
  <cp:revision>8</cp:revision>
  <cp:lastPrinted>2021-04-21T11:20:00Z</cp:lastPrinted>
  <dcterms:created xsi:type="dcterms:W3CDTF">2021-04-21T11:14:00Z</dcterms:created>
  <dcterms:modified xsi:type="dcterms:W3CDTF">2021-04-21T11:20:00Z</dcterms:modified>
</cp:coreProperties>
</file>